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spacing w:line="600" w:lineRule="exact"/>
        <w:jc w:val="center"/>
        <w:rPr>
          <w:rFonts w:ascii="方正黑体简体" w:eastAsia="方正黑体简体" w:cs="Times New Roman"/>
          <w:b/>
          <w:bCs/>
          <w:sz w:val="30"/>
          <w:szCs w:val="30"/>
        </w:rPr>
      </w:pPr>
      <w:r>
        <w:rPr>
          <w:rFonts w:hint="eastAsia" w:ascii="方正黑体简体" w:eastAsia="方正黑体简体" w:cs="方正黑体简体"/>
          <w:b/>
          <w:bCs/>
          <w:sz w:val="30"/>
          <w:szCs w:val="30"/>
        </w:rPr>
        <w:t>宜昌市城区预拌混凝土企业环保达标要求</w:t>
      </w:r>
    </w:p>
    <w:p>
      <w:pPr>
        <w:spacing w:line="600" w:lineRule="exact"/>
        <w:rPr>
          <w:rFonts w:eastAsia="仿宋_GB2312" w:cs="Times New Roman"/>
          <w:sz w:val="32"/>
          <w:szCs w:val="32"/>
        </w:rPr>
      </w:pPr>
    </w:p>
    <w:p>
      <w:pPr>
        <w:spacing w:line="360" w:lineRule="exact"/>
        <w:ind w:firstLine="31680" w:firstLineChars="200"/>
        <w:rPr>
          <w:rFonts w:ascii="方正黑体简体" w:eastAsia="方正黑体简体" w:cs="Times New Roman"/>
        </w:rPr>
      </w:pPr>
      <w:r>
        <w:rPr>
          <w:rFonts w:hint="eastAsia" w:ascii="方正黑体简体" w:eastAsia="方正黑体简体" w:cs="方正黑体简体"/>
        </w:rPr>
        <w:t>一、基本规定</w:t>
      </w:r>
    </w:p>
    <w:p>
      <w:pPr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预拌混凝土企业应设置能够满足绿色生产管理要求的组织机构，配备相应的专业技术人员及检测设备，建立完善的绿色生产管理制度，在生产过程中不得向厂外直接排放生产废水和废弃混凝土。</w:t>
      </w:r>
    </w:p>
    <w:p>
      <w:pPr>
        <w:spacing w:line="360" w:lineRule="exact"/>
        <w:ind w:firstLine="31680" w:firstLineChars="200"/>
        <w:rPr>
          <w:rFonts w:ascii="方正黑体简体" w:eastAsia="方正黑体简体" w:cs="Times New Roman"/>
        </w:rPr>
      </w:pPr>
      <w:r>
        <w:rPr>
          <w:rFonts w:hint="eastAsia" w:ascii="方正黑体简体" w:eastAsia="方正黑体简体" w:cs="方正黑体简体"/>
        </w:rPr>
        <w:t>二、厂址选择</w:t>
      </w:r>
    </w:p>
    <w:p>
      <w:pPr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新建厂址必须符合规划、土地、环保、建设要求，宜远离居民集中居住区，并应避开环境敏感区。</w:t>
      </w:r>
    </w:p>
    <w:p>
      <w:pPr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已建预拌混凝土企业不符合以上要求的，不得进行扩建。</w:t>
      </w:r>
    </w:p>
    <w:p>
      <w:pPr>
        <w:spacing w:line="360" w:lineRule="exact"/>
        <w:ind w:firstLine="31680" w:firstLineChars="200"/>
        <w:rPr>
          <w:rFonts w:ascii="方正黑体简体" w:eastAsia="方正黑体简体" w:cs="Times New Roman"/>
        </w:rPr>
      </w:pPr>
      <w:r>
        <w:rPr>
          <w:rFonts w:hint="eastAsia" w:ascii="方正黑体简体" w:eastAsia="方正黑体简体" w:cs="方正黑体简体"/>
        </w:rPr>
        <w:t>三、厂区要求</w:t>
      </w:r>
    </w:p>
    <w:p>
      <w:pPr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生产区、生活区、办公区应分开设置，并应采取隔离措施降低生产区对生活区和办公区环境的影响。</w:t>
      </w:r>
    </w:p>
    <w:p>
      <w:pPr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厂区道路及生产作业区应采用混凝土或沥青混凝土硬化，未硬化的空地应进行绿化。保持厂区道路完好和清洁，车辆行驶时应无明显可见扬尘。</w:t>
      </w:r>
    </w:p>
    <w:p>
      <w:pPr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生产区应设置废弃物存放处，生产废弃物应分类存放、集中处理。厂区内应配备生产废水处置系统，做到雨污分流。</w:t>
      </w:r>
    </w:p>
    <w:p>
      <w:pPr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厂区门前道路和环境应符合环境卫生、绿化要求。进出口应安装带夜视功能的视频监控设备，并与市住建委实现信息共享。</w:t>
      </w:r>
    </w:p>
    <w:p>
      <w:pPr>
        <w:spacing w:line="360" w:lineRule="exact"/>
        <w:ind w:firstLine="31680" w:firstLineChars="200"/>
        <w:rPr>
          <w:rFonts w:ascii="方正黑体简体" w:eastAsia="方正黑体简体" w:cs="Times New Roman"/>
        </w:rPr>
      </w:pPr>
      <w:r>
        <w:rPr>
          <w:rFonts w:hint="eastAsia" w:ascii="方正黑体简体" w:eastAsia="方正黑体简体" w:cs="方正黑体简体"/>
        </w:rPr>
        <w:t>四、生产设备、设施</w:t>
      </w:r>
    </w:p>
    <w:p>
      <w:pPr>
        <w:spacing w:line="360" w:lineRule="exact"/>
        <w:ind w:firstLine="31680" w:firstLineChars="200"/>
        <w:rPr>
          <w:rFonts w:ascii="方正书宋简体" w:eastAsia="方正书宋简体" w:cs="方正书宋简体"/>
          <w:b/>
          <w:bCs/>
        </w:rPr>
      </w:pPr>
      <w:r>
        <w:rPr>
          <w:rFonts w:ascii="方正书宋简体" w:eastAsia="方正书宋简体" w:cs="方正书宋简体"/>
          <w:b/>
          <w:bCs/>
        </w:rPr>
        <w:t>1</w:t>
      </w:r>
      <w:r>
        <w:rPr>
          <w:rFonts w:hint="eastAsia" w:ascii="方正书宋简体" w:eastAsia="方正书宋简体" w:cs="方正书宋简体"/>
          <w:b/>
          <w:bCs/>
        </w:rPr>
        <w:t>、搅拌楼</w:t>
      </w:r>
      <w:r>
        <w:rPr>
          <w:rFonts w:ascii="方正书宋简体" w:eastAsia="方正书宋简体" w:cs="方正书宋简体"/>
          <w:b/>
          <w:bCs/>
        </w:rPr>
        <w:t>(</w:t>
      </w:r>
      <w:r>
        <w:rPr>
          <w:rFonts w:hint="eastAsia" w:ascii="方正书宋简体" w:eastAsia="方正书宋简体" w:cs="方正书宋简体"/>
          <w:b/>
          <w:bCs/>
        </w:rPr>
        <w:t>站</w:t>
      </w:r>
      <w:r>
        <w:rPr>
          <w:rFonts w:ascii="方正书宋简体" w:eastAsia="方正书宋简体" w:cs="方正书宋简体"/>
          <w:b/>
          <w:bCs/>
        </w:rPr>
        <w:t>)</w:t>
      </w:r>
      <w:r>
        <w:rPr>
          <w:rFonts w:hint="eastAsia" w:ascii="方正书宋简体" w:eastAsia="方正书宋简体" w:cs="方正书宋简体"/>
          <w:b/>
          <w:bCs/>
        </w:rPr>
        <w:t>应满足下列要求</w:t>
      </w:r>
      <w:r>
        <w:rPr>
          <w:rFonts w:ascii="方正书宋简体" w:eastAsia="方正书宋简体" w:cs="方正书宋简体"/>
          <w:b/>
          <w:bCs/>
        </w:rPr>
        <w:t>:</w:t>
      </w:r>
    </w:p>
    <w:p>
      <w:pPr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（</w:t>
      </w:r>
      <w:r>
        <w:rPr>
          <w:rFonts w:ascii="方正书宋简体" w:eastAsia="方正书宋简体" w:cs="方正书宋简体"/>
        </w:rPr>
        <w:t>1</w:t>
      </w:r>
      <w:r>
        <w:rPr>
          <w:rFonts w:hint="eastAsia" w:ascii="方正书宋简体" w:eastAsia="方正书宋简体" w:cs="方正书宋简体"/>
        </w:rPr>
        <w:t>）搅拌楼</w:t>
      </w:r>
      <w:r>
        <w:rPr>
          <w:rFonts w:ascii="方正书宋简体" w:eastAsia="方正书宋简体" w:cs="方正书宋简体"/>
        </w:rPr>
        <w:t>(</w:t>
      </w:r>
      <w:r>
        <w:rPr>
          <w:rFonts w:hint="eastAsia" w:ascii="方正书宋简体" w:eastAsia="方正书宋简体" w:cs="方正书宋简体"/>
        </w:rPr>
        <w:t>站</w:t>
      </w:r>
      <w:r>
        <w:rPr>
          <w:rFonts w:ascii="方正书宋简体" w:eastAsia="方正书宋简体" w:cs="方正书宋简体"/>
        </w:rPr>
        <w:t>)</w:t>
      </w:r>
      <w:r>
        <w:rPr>
          <w:rFonts w:hint="eastAsia" w:ascii="方正书宋简体" w:eastAsia="方正书宋简体" w:cs="方正书宋简体"/>
        </w:rPr>
        <w:t>主体结构应整体密闭，其内部应采用防尘的采光设备采光。</w:t>
      </w:r>
    </w:p>
    <w:p>
      <w:pPr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（</w:t>
      </w:r>
      <w:r>
        <w:rPr>
          <w:rFonts w:ascii="方正书宋简体" w:eastAsia="方正书宋简体" w:cs="方正书宋简体"/>
        </w:rPr>
        <w:t>2</w:t>
      </w:r>
      <w:r>
        <w:rPr>
          <w:rFonts w:hint="eastAsia" w:ascii="方正书宋简体" w:eastAsia="方正书宋简体" w:cs="方正书宋简体"/>
        </w:rPr>
        <w:t>）搅拌楼</w:t>
      </w:r>
      <w:r>
        <w:rPr>
          <w:rFonts w:ascii="方正书宋简体" w:eastAsia="方正书宋简体" w:cs="方正书宋简体"/>
        </w:rPr>
        <w:t>(</w:t>
      </w:r>
      <w:r>
        <w:rPr>
          <w:rFonts w:hint="eastAsia" w:ascii="方正书宋简体" w:eastAsia="方正书宋简体" w:cs="方正书宋简体"/>
        </w:rPr>
        <w:t>站</w:t>
      </w:r>
      <w:r>
        <w:rPr>
          <w:rFonts w:ascii="方正书宋简体" w:eastAsia="方正书宋简体" w:cs="方正书宋简体"/>
        </w:rPr>
        <w:t>)</w:t>
      </w:r>
      <w:r>
        <w:rPr>
          <w:rFonts w:hint="eastAsia" w:ascii="方正书宋简体" w:eastAsia="方正书宋简体" w:cs="方正书宋简体"/>
        </w:rPr>
        <w:t>生产工艺过程中的上料、配料、搅拌等环节应实施封闭，配料用皮带输送机应侧面封闭且上部加盖。</w:t>
      </w:r>
    </w:p>
    <w:p>
      <w:pPr>
        <w:spacing w:line="360" w:lineRule="exact"/>
        <w:ind w:firstLine="31680" w:firstLineChars="200"/>
        <w:rPr>
          <w:rFonts w:ascii="方正书宋简体" w:eastAsia="方正书宋简体" w:cs="方正书宋简体"/>
          <w:b/>
          <w:bCs/>
        </w:rPr>
      </w:pPr>
      <w:r>
        <w:rPr>
          <w:rFonts w:ascii="方正书宋简体" w:eastAsia="方正书宋简体" w:cs="方正书宋简体"/>
          <w:b/>
          <w:bCs/>
        </w:rPr>
        <w:t>2</w:t>
      </w:r>
      <w:r>
        <w:rPr>
          <w:rFonts w:hint="eastAsia" w:ascii="方正书宋简体" w:eastAsia="方正书宋简体" w:cs="方正书宋简体"/>
          <w:b/>
          <w:bCs/>
        </w:rPr>
        <w:t>、材料储放应满足下列要求</w:t>
      </w:r>
      <w:r>
        <w:rPr>
          <w:rFonts w:ascii="方正书宋简体" w:eastAsia="方正书宋简体" w:cs="方正书宋简体"/>
          <w:b/>
          <w:bCs/>
        </w:rPr>
        <w:t>:</w:t>
      </w:r>
    </w:p>
    <w:p>
      <w:pPr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（</w:t>
      </w:r>
      <w:r>
        <w:rPr>
          <w:rFonts w:ascii="方正书宋简体" w:eastAsia="方正书宋简体" w:cs="方正书宋简体"/>
        </w:rPr>
        <w:t>1</w:t>
      </w:r>
      <w:r>
        <w:rPr>
          <w:rFonts w:hint="eastAsia" w:ascii="方正书宋简体" w:eastAsia="方正书宋简体" w:cs="方正书宋简体"/>
        </w:rPr>
        <w:t>）骨料堆场地面应硬化并确保排水通畅，不同材料应分仓堆放。骨料堆场应封闭，安装喷淋抑尘及预湿装置。</w:t>
      </w:r>
    </w:p>
    <w:p>
      <w:pPr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（</w:t>
      </w:r>
      <w:r>
        <w:rPr>
          <w:rFonts w:ascii="方正书宋简体" w:eastAsia="方正书宋简体" w:cs="方正书宋简体"/>
        </w:rPr>
        <w:t>2</w:t>
      </w:r>
      <w:r>
        <w:rPr>
          <w:rFonts w:hint="eastAsia" w:ascii="方正书宋简体" w:eastAsia="方正书宋简体" w:cs="方正书宋简体"/>
        </w:rPr>
        <w:t>）配料仓应与骨料仓一起封闭，配置强制除尘设备，进行空气净化处理。</w:t>
      </w:r>
    </w:p>
    <w:p>
      <w:pPr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（</w:t>
      </w:r>
      <w:r>
        <w:rPr>
          <w:rFonts w:ascii="方正书宋简体" w:eastAsia="方正书宋简体" w:cs="方正书宋简体"/>
        </w:rPr>
        <w:t>3</w:t>
      </w:r>
      <w:r>
        <w:rPr>
          <w:rFonts w:hint="eastAsia" w:ascii="方正书宋简体" w:eastAsia="方正书宋简体" w:cs="方正书宋简体"/>
        </w:rPr>
        <w:t>）液体外加剂应采用密闭容器储存，并有防沉淀、防渗漏措施。</w:t>
      </w:r>
    </w:p>
    <w:p>
      <w:pPr>
        <w:spacing w:line="360" w:lineRule="exact"/>
        <w:ind w:firstLine="31680" w:firstLineChars="200"/>
        <w:rPr>
          <w:rFonts w:ascii="方正书宋简体" w:eastAsia="方正书宋简体" w:cs="方正书宋简体"/>
          <w:b/>
          <w:bCs/>
        </w:rPr>
      </w:pPr>
      <w:r>
        <w:rPr>
          <w:rFonts w:ascii="方正书宋简体" w:eastAsia="方正书宋简体" w:cs="方正书宋简体"/>
          <w:b/>
          <w:bCs/>
        </w:rPr>
        <w:t>3</w:t>
      </w:r>
      <w:r>
        <w:rPr>
          <w:rFonts w:hint="eastAsia" w:ascii="方正书宋简体" w:eastAsia="方正书宋简体" w:cs="方正书宋简体"/>
          <w:b/>
          <w:bCs/>
        </w:rPr>
        <w:t>、搅拌主机、粉料仓应满足下列要求</w:t>
      </w:r>
      <w:r>
        <w:rPr>
          <w:rFonts w:ascii="方正书宋简体" w:eastAsia="方正书宋简体" w:cs="方正书宋简体"/>
          <w:b/>
          <w:bCs/>
        </w:rPr>
        <w:t>:</w:t>
      </w:r>
    </w:p>
    <w:p>
      <w:pPr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（</w:t>
      </w:r>
      <w:r>
        <w:rPr>
          <w:rFonts w:ascii="方正书宋简体" w:eastAsia="方正书宋简体" w:cs="方正书宋简体"/>
        </w:rPr>
        <w:t>1</w:t>
      </w:r>
      <w:r>
        <w:rPr>
          <w:rFonts w:hint="eastAsia" w:ascii="方正书宋简体" w:eastAsia="方正书宋简体" w:cs="方正书宋简体"/>
        </w:rPr>
        <w:t>）搅拌主机、粉料仓应使用集尘设施除尘，除尘设施应保持完好，滤芯等易损装置应定期保养或更换。</w:t>
      </w:r>
    </w:p>
    <w:p>
      <w:pPr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（</w:t>
      </w:r>
      <w:r>
        <w:rPr>
          <w:rFonts w:ascii="方正书宋简体" w:eastAsia="方正书宋简体" w:cs="方正书宋简体"/>
        </w:rPr>
        <w:t>2</w:t>
      </w:r>
      <w:r>
        <w:rPr>
          <w:rFonts w:hint="eastAsia" w:ascii="方正书宋简体" w:eastAsia="方正书宋简体" w:cs="方正书宋简体"/>
        </w:rPr>
        <w:t>）搅拌主机卸料口应设置防喷溅设施，地面应设有排污槽，及时清理泥浆类物质。</w:t>
      </w:r>
    </w:p>
    <w:p>
      <w:pPr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（</w:t>
      </w:r>
      <w:r>
        <w:rPr>
          <w:rFonts w:ascii="方正书宋简体" w:eastAsia="方正书宋简体" w:cs="方正书宋简体"/>
        </w:rPr>
        <w:t>3</w:t>
      </w:r>
      <w:r>
        <w:rPr>
          <w:rFonts w:hint="eastAsia" w:ascii="方正书宋简体" w:eastAsia="方正书宋简体" w:cs="方正书宋简体"/>
        </w:rPr>
        <w:t>）粉料仓应配备除尘器、安全阀、报警器，除吹灰管及除尘器出口外，不得再有通向大气的出口。吹灰管应采用硬式密闭接口，吹灰过程中应保证接头牢固可靠，不得泄露。粉料仓顶部</w:t>
      </w:r>
      <w:r>
        <w:rPr>
          <w:rFonts w:ascii="方正书宋简体" w:eastAsia="方正书宋简体" w:cs="方正书宋简体"/>
        </w:rPr>
        <w:t>(</w:t>
      </w:r>
      <w:r>
        <w:rPr>
          <w:rFonts w:hint="eastAsia" w:ascii="方正书宋简体" w:eastAsia="方正书宋简体" w:cs="方正书宋简体"/>
        </w:rPr>
        <w:t>含除尘装置</w:t>
      </w:r>
      <w:r>
        <w:rPr>
          <w:rFonts w:ascii="方正书宋简体" w:eastAsia="方正书宋简体" w:cs="方正书宋简体"/>
        </w:rPr>
        <w:t>)</w:t>
      </w:r>
      <w:r>
        <w:rPr>
          <w:rFonts w:hint="eastAsia" w:ascii="方正书宋简体" w:eastAsia="方正书宋简体" w:cs="方正书宋简体"/>
        </w:rPr>
        <w:t>应保持清洁，不得积尘，应定期对除尘装置进行保养维护。</w:t>
      </w:r>
    </w:p>
    <w:p>
      <w:pPr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（</w:t>
      </w:r>
      <w:r>
        <w:rPr>
          <w:rFonts w:ascii="方正书宋简体" w:eastAsia="方正书宋简体" w:cs="方正书宋简体"/>
        </w:rPr>
        <w:t>4</w:t>
      </w:r>
      <w:r>
        <w:rPr>
          <w:rFonts w:hint="eastAsia" w:ascii="方正书宋简体" w:eastAsia="方正书宋简体" w:cs="方正书宋简体"/>
        </w:rPr>
        <w:t>）粉料仓应配备料位控制系统，料位控制系统显示部分装置位置应便于上料人员吹灰控制。应定期对料位控制系统进行保养维护。</w:t>
      </w:r>
    </w:p>
    <w:p>
      <w:pPr>
        <w:spacing w:line="360" w:lineRule="exact"/>
        <w:ind w:firstLine="31680" w:firstLineChars="200"/>
        <w:rPr>
          <w:rFonts w:ascii="方正书宋简体" w:eastAsia="方正书宋简体" w:cs="Times New Roman"/>
          <w:b/>
          <w:bCs/>
        </w:rPr>
      </w:pPr>
      <w:r>
        <w:rPr>
          <w:rFonts w:ascii="方正书宋简体" w:eastAsia="方正书宋简体" w:cs="方正书宋简体"/>
          <w:b/>
          <w:bCs/>
        </w:rPr>
        <w:t>4</w:t>
      </w:r>
      <w:r>
        <w:rPr>
          <w:rFonts w:hint="eastAsia" w:ascii="方正书宋简体" w:eastAsia="方正书宋简体" w:cs="方正书宋简体"/>
          <w:b/>
          <w:bCs/>
        </w:rPr>
        <w:t>、生产废水、废浆及废弃混凝土处理</w:t>
      </w:r>
    </w:p>
    <w:p>
      <w:pPr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（</w:t>
      </w:r>
      <w:r>
        <w:rPr>
          <w:rFonts w:ascii="方正书宋简体" w:eastAsia="方正书宋简体" w:cs="方正书宋简体"/>
        </w:rPr>
        <w:t>1</w:t>
      </w:r>
      <w:r>
        <w:rPr>
          <w:rFonts w:hint="eastAsia" w:ascii="方正书宋简体" w:eastAsia="方正书宋简体" w:cs="方正书宋简体"/>
        </w:rPr>
        <w:t>）生产厂区应设置多级沉淀池，搅拌楼、骨料堆场、混凝土回收设备、车辆清洗场地四周应设置排水沟，排水沟与沉淀池连接，生产废水和废浆经沉淀池沉淀后应及时清理。</w:t>
      </w:r>
    </w:p>
    <w:p>
      <w:pPr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（</w:t>
      </w:r>
      <w:r>
        <w:rPr>
          <w:rFonts w:ascii="方正书宋简体" w:eastAsia="方正书宋简体" w:cs="方正书宋简体"/>
        </w:rPr>
        <w:t>2</w:t>
      </w:r>
      <w:r>
        <w:rPr>
          <w:rFonts w:hint="eastAsia" w:ascii="方正书宋简体" w:eastAsia="方正书宋简体" w:cs="方正书宋简体"/>
        </w:rPr>
        <w:t>）废弃混凝土不得露天存放，应及时转运清理。</w:t>
      </w:r>
    </w:p>
    <w:p>
      <w:pPr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（</w:t>
      </w:r>
      <w:r>
        <w:rPr>
          <w:rFonts w:ascii="方正书宋简体" w:eastAsia="方正书宋简体" w:cs="方正书宋简体"/>
        </w:rPr>
        <w:t>3</w:t>
      </w:r>
      <w:r>
        <w:rPr>
          <w:rFonts w:hint="eastAsia" w:ascii="方正书宋简体" w:eastAsia="方正书宋简体" w:cs="方正书宋简体"/>
        </w:rPr>
        <w:t>）生产废水、废浆及废弃混凝土宜回收经处理后再利用。</w:t>
      </w:r>
    </w:p>
    <w:p>
      <w:pPr>
        <w:spacing w:line="360" w:lineRule="exact"/>
        <w:ind w:firstLine="31680" w:firstLineChars="200"/>
        <w:rPr>
          <w:rFonts w:ascii="方正黑体简体" w:eastAsia="方正黑体简体" w:cs="Times New Roman"/>
        </w:rPr>
      </w:pPr>
      <w:r>
        <w:rPr>
          <w:rFonts w:hint="eastAsia" w:ascii="方正黑体简体" w:eastAsia="方正黑体简体" w:cs="方正黑体简体"/>
        </w:rPr>
        <w:t>五、运输管理</w:t>
      </w:r>
    </w:p>
    <w:p>
      <w:pPr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（</w:t>
      </w:r>
      <w:r>
        <w:rPr>
          <w:rFonts w:ascii="方正书宋简体" w:eastAsia="方正书宋简体" w:cs="方正书宋简体"/>
        </w:rPr>
        <w:t>1</w:t>
      </w:r>
      <w:r>
        <w:rPr>
          <w:rFonts w:hint="eastAsia" w:ascii="方正书宋简体" w:eastAsia="方正书宋简体" w:cs="方正书宋简体"/>
        </w:rPr>
        <w:t>）混凝土运输车辆应在车身明显部位喷涂企业名称标识。</w:t>
      </w:r>
    </w:p>
    <w:p>
      <w:pPr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（</w:t>
      </w:r>
      <w:r>
        <w:rPr>
          <w:rFonts w:ascii="方正书宋简体" w:eastAsia="方正书宋简体" w:cs="方正书宋简体"/>
        </w:rPr>
        <w:t>2</w:t>
      </w:r>
      <w:r>
        <w:rPr>
          <w:rFonts w:hint="eastAsia" w:ascii="方正书宋简体" w:eastAsia="方正书宋简体" w:cs="方正书宋简体"/>
        </w:rPr>
        <w:t>）混凝土运输车辆卸料部位应安装定型化的防撒漏装置。</w:t>
      </w:r>
    </w:p>
    <w:p>
      <w:pPr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（</w:t>
      </w:r>
      <w:r>
        <w:rPr>
          <w:rFonts w:ascii="方正书宋简体" w:eastAsia="方正书宋简体" w:cs="方正书宋简体"/>
        </w:rPr>
        <w:t>3</w:t>
      </w:r>
      <w:r>
        <w:rPr>
          <w:rFonts w:hint="eastAsia" w:ascii="方正书宋简体" w:eastAsia="方正书宋简体" w:cs="方正书宋简体"/>
        </w:rPr>
        <w:t>）厂区出入口应设置车辆清洗设备，混凝土运输车出厂前应进行清洗，保持车容整洁。</w:t>
      </w:r>
    </w:p>
    <w:p>
      <w:pPr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（</w:t>
      </w:r>
      <w:r>
        <w:rPr>
          <w:rFonts w:ascii="方正书宋简体" w:eastAsia="方正书宋简体" w:cs="方正书宋简体"/>
        </w:rPr>
        <w:t>4</w:t>
      </w:r>
      <w:r>
        <w:rPr>
          <w:rFonts w:hint="eastAsia" w:ascii="方正书宋简体" w:eastAsia="方正书宋简体" w:cs="方正书宋简体"/>
        </w:rPr>
        <w:t>）冲洗废水应与生产废水处理系统连接。</w:t>
      </w:r>
    </w:p>
    <w:p>
      <w:pPr>
        <w:spacing w:line="360" w:lineRule="exact"/>
        <w:ind w:firstLine="31680" w:firstLineChars="200"/>
        <w:rPr>
          <w:rFonts w:ascii="方正黑体简体" w:eastAsia="方正黑体简体" w:cs="Times New Roman"/>
        </w:rPr>
      </w:pPr>
      <w:r>
        <w:rPr>
          <w:rFonts w:hint="eastAsia" w:ascii="方正黑体简体" w:eastAsia="方正黑体简体" w:cs="方正黑体简体"/>
        </w:rPr>
        <w:t>六、监测控制</w:t>
      </w:r>
    </w:p>
    <w:p>
      <w:pPr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预拌混凝土企业应编制监测控制方案，对生产过程中产生的粉尘和噪声应按照《预拌混凝土绿色生产及管理技术规程》（</w:t>
      </w:r>
      <w:r>
        <w:rPr>
          <w:rFonts w:ascii="方正书宋简体" w:eastAsia="方正书宋简体" w:cs="方正书宋简体"/>
        </w:rPr>
        <w:t>JGJ/T328-2014</w:t>
      </w:r>
      <w:r>
        <w:rPr>
          <w:rFonts w:hint="eastAsia" w:ascii="方正书宋简体" w:eastAsia="方正书宋简体" w:cs="方正书宋简体"/>
        </w:rPr>
        <w:t>）要求定期组织第三方监测和自我监测，留存监测记录。不合格时应立即按应急预案的要求进行处置。</w:t>
      </w:r>
    </w:p>
    <w:p>
      <w:pPr>
        <w:spacing w:line="360" w:lineRule="exact"/>
        <w:ind w:firstLine="31680" w:firstLineChars="200"/>
        <w:rPr>
          <w:rFonts w:ascii="方正书宋简体" w:eastAsia="方正书宋简体" w:cs="Times New Roman"/>
        </w:rPr>
      </w:pPr>
    </w:p>
    <w:p>
      <w:pPr>
        <w:spacing w:line="360" w:lineRule="exact"/>
        <w:ind w:firstLine="31680" w:firstLineChars="200"/>
        <w:rPr>
          <w:rFonts w:ascii="方正书宋简体" w:eastAsia="方正书宋简体" w:cs="Times New Roman"/>
        </w:rPr>
      </w:pPr>
    </w:p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roman"/>
    <w:pitch w:val="default"/>
    <w:sig w:usb0="E0002AFF" w:usb1="C0007843" w:usb2="00000009" w:usb3="00000000" w:csb0="400001FF" w:csb1="FFFF0000"/>
  </w:font>
  <w:font w:name="方正大标宋简体">
    <w:altName w:val="宋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方正楷体简体">
    <w:altName w:val="方正兰亭超细黑简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方正书宋简体">
    <w:altName w:val="宋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方正黑体简体">
    <w:altName w:val="微软雅黑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10" w:usb3="00000000" w:csb0="00040000" w:csb1="00000000"/>
  </w:font>
  <w:font w:name="方正小标宋简体">
    <w:altName w:val="方正兰亭超细黑简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创艺简标宋">
    <w:altName w:val="方正兰亭超细黑简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modern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roma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Arial">
    <w:panose1 w:val="020B0604020202020204"/>
    <w:charset w:val="00"/>
    <w:family w:val="modern"/>
    <w:pitch w:val="default"/>
    <w:sig w:usb0="E0002AFF" w:usb1="C0007843" w:usb2="00000009" w:usb3="00000000" w:csb0="400001FF" w:csb1="FFFF0000"/>
  </w:font>
  <w:font w:name="方正粗圆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大标宋_GBK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script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简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decorative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decorative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decorative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roman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roman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5F349C"/>
    <w:rsid w:val="2B5F349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Office_10.1.0.5457_F1E327BC-269C-435d-A152-05C5408002CA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2016-03-30T01:26:00Z</dcterms:created>
  <dc:creator>Administrator</dc:creator>
  <cp:lastModifiedBy>Administrator</cp:lastModifiedBy>
  <dcterms:modified xsi:type="dcterms:W3CDTF">2016-03-30T01:26:44Z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