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widowControl/>
        <w:jc w:val="center"/>
        <w:textAlignment w:val="bottom"/>
        <w:outlineLvl w:val="0"/>
        <w:rPr>
          <w:rFonts w:ascii="方正大标宋简体" w:hAnsi="Verdana" w:eastAsia="方正大标宋简体" w:cs="Times New Roman"/>
          <w:b/>
          <w:bCs/>
          <w:kern w:val="36"/>
          <w:sz w:val="30"/>
          <w:szCs w:val="30"/>
        </w:rPr>
      </w:pPr>
      <w:r>
        <w:rPr>
          <w:rFonts w:hint="eastAsia" w:ascii="方正大标宋简体" w:hAnsi="Verdana" w:eastAsia="方正大标宋简体" w:cs="方正大标宋简体"/>
          <w:b/>
          <w:bCs/>
          <w:kern w:val="36"/>
          <w:sz w:val="30"/>
          <w:szCs w:val="30"/>
        </w:rPr>
        <w:t>发展绿色建筑推动生态城市建设的意见</w:t>
      </w:r>
    </w:p>
    <w:p>
      <w:pPr>
        <w:spacing w:beforeLines="50"/>
        <w:jc w:val="center"/>
        <w:rPr>
          <w:rFonts w:ascii="Times New Roman" w:hAnsi="Times New Roman" w:eastAsia="方正楷体简体" w:cs="Times New Roman"/>
          <w:b/>
          <w:bCs/>
          <w:color w:val="000000"/>
          <w:kern w:val="0"/>
          <w:sz w:val="22"/>
          <w:szCs w:val="22"/>
        </w:rPr>
      </w:pPr>
      <w:r>
        <w:rPr>
          <w:rFonts w:ascii="Times New Roman" w:hAnsi="Times New Roman" w:eastAsia="方正楷体简体" w:cs="Times New Roman"/>
          <w:b/>
          <w:bCs/>
          <w:color w:val="000000"/>
          <w:kern w:val="0"/>
          <w:sz w:val="22"/>
          <w:szCs w:val="22"/>
        </w:rPr>
        <w:t> </w:t>
      </w:r>
      <w:r>
        <w:rPr>
          <w:rFonts w:hint="eastAsia" w:ascii="Times New Roman" w:hAnsi="Times New Roman" w:eastAsia="方正楷体简体" w:cs="方正楷体简体"/>
          <w:b/>
          <w:bCs/>
          <w:color w:val="000000"/>
          <w:kern w:val="0"/>
          <w:sz w:val="22"/>
          <w:szCs w:val="22"/>
        </w:rPr>
        <w:t>宜发</w:t>
      </w:r>
      <w:r>
        <w:rPr>
          <w:rFonts w:ascii="Times New Roman" w:hAnsi="Times New Roman" w:eastAsia="方正楷体简体" w:cs="Times New Roman"/>
          <w:b/>
          <w:bCs/>
          <w:color w:val="000000"/>
          <w:kern w:val="0"/>
          <w:sz w:val="22"/>
          <w:szCs w:val="22"/>
        </w:rPr>
        <w:t>[2015]5</w:t>
      </w:r>
      <w:r>
        <w:rPr>
          <w:rFonts w:hint="eastAsia" w:ascii="Times New Roman" w:hAnsi="Times New Roman" w:eastAsia="方正楷体简体" w:cs="方正楷体简体"/>
          <w:b/>
          <w:bCs/>
          <w:color w:val="000000"/>
          <w:kern w:val="0"/>
          <w:sz w:val="22"/>
          <w:szCs w:val="22"/>
        </w:rPr>
        <w:t>号</w:t>
      </w:r>
      <w:r>
        <w:rPr>
          <w:rFonts w:ascii="Times New Roman" w:hAnsi="Times New Roman" w:eastAsia="方正楷体简体" w:cs="Times New Roman"/>
          <w:b/>
          <w:bCs/>
          <w:color w:val="000000"/>
          <w:kern w:val="0"/>
          <w:sz w:val="22"/>
          <w:szCs w:val="22"/>
        </w:rPr>
        <w:t>  </w:t>
      </w:r>
    </w:p>
    <w:p>
      <w:pPr>
        <w:widowControl/>
        <w:spacing w:line="360" w:lineRule="exact"/>
        <w:ind w:firstLine="640"/>
        <w:jc w:val="left"/>
        <w:textAlignment w:val="bottom"/>
        <w:rPr>
          <w:rFonts w:ascii="方正书宋简体" w:hAnsi="Verdana" w:eastAsia="方正书宋简体" w:cs="Times New Roman"/>
          <w:kern w:val="0"/>
        </w:rPr>
      </w:pP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书宋简体" w:hAnsi="Verdana" w:eastAsia="方正书宋简体" w:cs="方正书宋简体"/>
          <w:kern w:val="0"/>
        </w:rPr>
        <w:t>为大力发展绿色建筑，推动城市建设步入绿色、循环、低碳的科学发展轨道，培育节能环保、新能源等新兴产业，建设资源</w:t>
      </w:r>
      <w:r>
        <w:rPr>
          <w:rFonts w:hint="eastAsia" w:ascii="方正书宋简体" w:hAnsi="Verdana" w:eastAsia="方正书宋简体" w:cs="方正书宋简体"/>
          <w:spacing w:val="-6"/>
          <w:kern w:val="0"/>
        </w:rPr>
        <w:t>节约型、环境友好型城市，打造绿色生态文明宜昌，提出如下意见。</w:t>
      </w:r>
    </w:p>
    <w:p>
      <w:pPr>
        <w:widowControl/>
        <w:spacing w:line="360" w:lineRule="exact"/>
        <w:ind w:firstLine="31680" w:firstLineChars="200"/>
        <w:jc w:val="left"/>
        <w:textAlignment w:val="bottom"/>
        <w:rPr>
          <w:rFonts w:ascii="方正黑体简体" w:hAnsi="Verdana" w:eastAsia="方正黑体简体" w:cs="Times New Roman"/>
          <w:kern w:val="0"/>
        </w:rPr>
      </w:pPr>
      <w:r>
        <w:rPr>
          <w:rFonts w:hint="eastAsia" w:ascii="方正黑体简体" w:hAnsi="Verdana" w:eastAsia="方正黑体简体" w:cs="方正黑体简体"/>
          <w:kern w:val="0"/>
        </w:rPr>
        <w:t>一、总体要求</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（一）指导思想。</w:t>
      </w:r>
      <w:r>
        <w:rPr>
          <w:rFonts w:hint="eastAsia" w:ascii="方正书宋简体" w:hAnsi="Verdana" w:eastAsia="方正书宋简体" w:cs="方正书宋简体"/>
          <w:kern w:val="0"/>
        </w:rPr>
        <w:t>以高质量可持续发展核心战略为引领，紧紧围绕建设“既大又强、特优特美”现代化特大城市的奋斗目标，牢固树立后现代理念，坚持“政府引导、市场运作，典型示范、整体推进，政策激励、规范约束，因地制宜、经济适用”的基本原则，以新建绿色建筑和既有建筑绿色改造为抓手，从政策体制、标准规范、规划设计、配套设施、建设运营和产业支撑等方面全面发展绿色建筑，切实转变城市建设模式和建筑业发展方式，促进城市建设品质全面提升，助推生态文明先行示范区建设。</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（二）总体目标。</w:t>
      </w:r>
      <w:r>
        <w:rPr>
          <w:rFonts w:hint="eastAsia" w:ascii="方正书宋简体" w:hAnsi="Verdana" w:eastAsia="方正书宋简体" w:cs="方正书宋简体"/>
          <w:kern w:val="0"/>
        </w:rPr>
        <w:t>到</w:t>
      </w:r>
      <w:r>
        <w:rPr>
          <w:rFonts w:ascii="方正书宋简体" w:hAnsi="Verdana" w:eastAsia="方正书宋简体" w:cs="方正书宋简体"/>
          <w:kern w:val="0"/>
        </w:rPr>
        <w:t>2020</w:t>
      </w:r>
      <w:r>
        <w:rPr>
          <w:rFonts w:hint="eastAsia" w:ascii="方正书宋简体" w:hAnsi="Verdana" w:eastAsia="方正书宋简体" w:cs="方正书宋简体"/>
          <w:kern w:val="0"/>
        </w:rPr>
        <w:t>年，宜昌绿色建筑发展水平居中部地区前列；宜昌新区新建建筑全面达到绿色建筑标准；点军新城建设成为国家绿色生态示范区，东站片区、唐家湾片区建设成为省级绿色生态示范区，示范区内二星级及以上绿色建筑达到</w:t>
      </w:r>
      <w:r>
        <w:rPr>
          <w:rFonts w:ascii="方正书宋简体" w:hAnsi="Verdana" w:eastAsia="方正书宋简体" w:cs="方正书宋简体"/>
          <w:kern w:val="0"/>
        </w:rPr>
        <w:t>30%</w:t>
      </w:r>
      <w:r>
        <w:rPr>
          <w:rFonts w:hint="eastAsia" w:ascii="方正书宋简体" w:hAnsi="Verdana" w:eastAsia="方正书宋简体" w:cs="方正书宋简体"/>
          <w:kern w:val="0"/>
        </w:rPr>
        <w:t>以上；试点建设一批绿色生态村镇。</w:t>
      </w:r>
    </w:p>
    <w:p>
      <w:pPr>
        <w:widowControl/>
        <w:spacing w:line="360" w:lineRule="exact"/>
        <w:ind w:firstLine="31680" w:firstLineChars="200"/>
        <w:jc w:val="left"/>
        <w:textAlignment w:val="bottom"/>
        <w:rPr>
          <w:rFonts w:ascii="方正黑体简体" w:hAnsi="Verdana" w:eastAsia="方正黑体简体" w:cs="Times New Roman"/>
          <w:kern w:val="0"/>
        </w:rPr>
      </w:pPr>
      <w:r>
        <w:rPr>
          <w:rFonts w:hint="eastAsia" w:ascii="方正黑体简体" w:hAnsi="Verdana" w:eastAsia="方正黑体简体" w:cs="方正黑体简体"/>
          <w:kern w:val="0"/>
        </w:rPr>
        <w:t>二、重点任务</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书宋简体" w:hAnsi="Verdana" w:eastAsia="方正书宋简体" w:cs="方正书宋简体"/>
          <w:kern w:val="0"/>
        </w:rPr>
        <w:t>实施“八大工程”，大力发展绿色建筑，打造一批绿色社区、绿色村镇和绿色生态城区。</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（一）实施绿色房建工程。</w:t>
      </w:r>
      <w:r>
        <w:rPr>
          <w:rFonts w:hint="eastAsia" w:ascii="方正书宋简体" w:hAnsi="Verdana" w:eastAsia="方正书宋简体" w:cs="方正书宋简体"/>
          <w:kern w:val="0"/>
        </w:rPr>
        <w:t>全市范围内</w:t>
      </w:r>
      <w:r>
        <w:rPr>
          <w:rFonts w:ascii="方正书宋简体" w:hAnsi="Verdana" w:eastAsia="方正书宋简体" w:cs="方正书宋简体"/>
          <w:kern w:val="0"/>
        </w:rPr>
        <w:t>(</w:t>
      </w:r>
      <w:r>
        <w:rPr>
          <w:rFonts w:hint="eastAsia" w:ascii="方正书宋简体" w:hAnsi="Verdana" w:eastAsia="方正书宋简体" w:cs="方正书宋简体"/>
          <w:kern w:val="0"/>
        </w:rPr>
        <w:t>含各县市区</w:t>
      </w:r>
      <w:r>
        <w:rPr>
          <w:rFonts w:ascii="方正书宋简体" w:hAnsi="Verdana" w:eastAsia="方正书宋简体" w:cs="方正书宋简体"/>
          <w:kern w:val="0"/>
        </w:rPr>
        <w:t>)10</w:t>
      </w:r>
      <w:r>
        <w:rPr>
          <w:rFonts w:hint="eastAsia" w:ascii="方正书宋简体" w:hAnsi="Verdana" w:eastAsia="方正书宋简体" w:cs="方正书宋简体"/>
          <w:kern w:val="0"/>
        </w:rPr>
        <w:t>万平方米及以上的房地产项目、政府投资的公益性建筑、大型公共建筑全面执行绿色建筑标准；宜昌市城区的保障性住房全面执行绿色建筑标准；新区建设范围内的新建建筑全面执行绿色建筑标准。将智能化技术与绿色建筑有机结合，提升建筑综合性能，打造绿色社区。遵循生产、生活、生态相协调的原则，对小城镇、农村地区发展绿色建筑提出要求，推广绿色农房。以公共建筑为重点，开展能耗统计和能效测评工作，结合旧城更新和城市整理工程，对既有建筑进行绿色改造，鼓励农民在改建农房过程中按照绿色建筑标准进行农房改造。</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（二）实施绿色交通工程。</w:t>
      </w:r>
      <w:r>
        <w:rPr>
          <w:rFonts w:hint="eastAsia" w:ascii="方正书宋简体" w:hAnsi="Verdana" w:eastAsia="方正书宋简体" w:cs="方正书宋简体"/>
          <w:kern w:val="0"/>
        </w:rPr>
        <w:t>优化规划设计，采用降噪透水等绿色道路技术措施，形成环境友好、智能便捷的道路体系；合理布局，配套建设生态、立体、智能的社会停车场；引导使用新能源汽车，加快充电桩和电动车充电站等配套设施建设；倡导绿色出行，发展绿道、自行车道等慢行交通系统，加快建设快速公交线路，尽早启动轨道交通建设，实现中心城区内公共交通出行比例不低于</w:t>
      </w:r>
      <w:r>
        <w:rPr>
          <w:rFonts w:ascii="方正书宋简体" w:hAnsi="Verdana" w:eastAsia="方正书宋简体" w:cs="方正书宋简体"/>
          <w:kern w:val="0"/>
        </w:rPr>
        <w:t>30%</w:t>
      </w:r>
      <w:r>
        <w:rPr>
          <w:rFonts w:hint="eastAsia" w:ascii="方正书宋简体" w:hAnsi="Verdana" w:eastAsia="方正书宋简体" w:cs="方正书宋简体"/>
          <w:kern w:val="0"/>
        </w:rPr>
        <w:t>。</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（三）实施绿色生态景观工程。</w:t>
      </w:r>
      <w:r>
        <w:rPr>
          <w:rFonts w:hint="eastAsia" w:ascii="方正书宋简体" w:hAnsi="Verdana" w:eastAsia="方正书宋简体" w:cs="方正书宋简体"/>
          <w:kern w:val="0"/>
        </w:rPr>
        <w:t>构建良好的城市生态系统，增强城市生态承载能力。制定绿地系统规划，建设节约型园林，新增公园、小游园等各类绿地</w:t>
      </w:r>
      <w:r>
        <w:rPr>
          <w:rFonts w:ascii="方正书宋简体" w:hAnsi="Verdana" w:eastAsia="方正书宋简体" w:cs="方正书宋简体"/>
          <w:kern w:val="0"/>
        </w:rPr>
        <w:t>500</w:t>
      </w:r>
      <w:r>
        <w:rPr>
          <w:rFonts w:hint="eastAsia" w:ascii="方正书宋简体" w:hAnsi="Verdana" w:eastAsia="方正书宋简体" w:cs="方正书宋简体"/>
          <w:kern w:val="0"/>
        </w:rPr>
        <w:t>万平方米以上，建造绿色亲民的水景、绿地、广场、园林小品等景观节点；制定水生态系统规划，开展河流水质恢复和治理工程，研究运河等城市水体的综合利用；制定山体保护规划，营造山体特色景观，保护区域生物多样性，增添山体绿化面积</w:t>
      </w:r>
      <w:r>
        <w:rPr>
          <w:rFonts w:ascii="方正书宋简体" w:hAnsi="Verdana" w:eastAsia="方正书宋简体" w:cs="方正书宋简体"/>
          <w:kern w:val="0"/>
        </w:rPr>
        <w:t>500</w:t>
      </w:r>
      <w:r>
        <w:rPr>
          <w:rFonts w:hint="eastAsia" w:ascii="方正书宋简体" w:hAnsi="Verdana" w:eastAsia="方正书宋简体" w:cs="方正书宋简体"/>
          <w:kern w:val="0"/>
        </w:rPr>
        <w:t>万平方米以上。</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（四）实施水资源综合利用工程。</w:t>
      </w:r>
      <w:r>
        <w:rPr>
          <w:rFonts w:hint="eastAsia" w:ascii="方正书宋简体" w:hAnsi="Verdana" w:eastAsia="方正书宋简体" w:cs="方正书宋简体"/>
          <w:kern w:val="0"/>
        </w:rPr>
        <w:t>加强生活节水器具推广应用，全社会节水器具普及率达到</w:t>
      </w:r>
      <w:r>
        <w:rPr>
          <w:rFonts w:ascii="方正书宋简体" w:hAnsi="Verdana" w:eastAsia="方正书宋简体" w:cs="方正书宋简体"/>
          <w:kern w:val="0"/>
        </w:rPr>
        <w:t>90%</w:t>
      </w:r>
      <w:r>
        <w:rPr>
          <w:rFonts w:hint="eastAsia" w:ascii="方正书宋简体" w:hAnsi="Verdana" w:eastAsia="方正书宋简体" w:cs="方正书宋简体"/>
          <w:kern w:val="0"/>
        </w:rPr>
        <w:t>。综合利用蓄水池、透水绿地、下沉式花园等“慢排缓释”措施，建设海绵型城市。开展中水回用及雨水收集系统示范，非传统水源利用率达到</w:t>
      </w:r>
      <w:r>
        <w:rPr>
          <w:rFonts w:ascii="方正书宋简体" w:hAnsi="Verdana" w:eastAsia="方正书宋简体" w:cs="方正书宋简体"/>
          <w:kern w:val="0"/>
        </w:rPr>
        <w:t>10%</w:t>
      </w:r>
      <w:r>
        <w:rPr>
          <w:rFonts w:hint="eastAsia" w:ascii="方正书宋简体" w:hAnsi="Verdana" w:eastAsia="方正书宋简体" w:cs="方正书宋简体"/>
          <w:kern w:val="0"/>
        </w:rPr>
        <w:t>。</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（五）实施垃圾综合处理工程。</w:t>
      </w:r>
      <w:r>
        <w:rPr>
          <w:rFonts w:hint="eastAsia" w:ascii="方正书宋简体" w:hAnsi="Verdana" w:eastAsia="方正书宋简体" w:cs="方正书宋简体"/>
          <w:kern w:val="0"/>
        </w:rPr>
        <w:t>建立减量化、资源化和无害化的全过程垃圾处理体系，城市生活垃圾无害化处理率达到</w:t>
      </w:r>
      <w:r>
        <w:rPr>
          <w:rFonts w:ascii="方正书宋简体" w:hAnsi="Verdana" w:eastAsia="方正书宋简体" w:cs="方正书宋简体"/>
          <w:kern w:val="0"/>
        </w:rPr>
        <w:t>100%</w:t>
      </w:r>
      <w:r>
        <w:rPr>
          <w:rFonts w:hint="eastAsia" w:ascii="方正书宋简体" w:hAnsi="Verdana" w:eastAsia="方正书宋简体" w:cs="方正书宋简体"/>
          <w:kern w:val="0"/>
        </w:rPr>
        <w:t>，积极推动垃圾分类收集和资源化利用。建立专门的建筑废弃物集中处理基地。</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（六）实施绿色建材工程。</w:t>
      </w:r>
      <w:r>
        <w:rPr>
          <w:rFonts w:hint="eastAsia" w:ascii="方正书宋简体" w:hAnsi="Verdana" w:eastAsia="方正书宋简体" w:cs="方正书宋简体"/>
          <w:kern w:val="0"/>
        </w:rPr>
        <w:t>推广应用墙体自保温建筑节能结构体系。大力发展加气混凝土制品、断桥隔热门窗、遮阳系统等节能环保、安全耐久、因地制宜的绿色建材。鼓励利用建筑垃圾和工业废弃物为原料研发、生产新型建材。引导高性能混凝土、高强钢筋的发展应用，到</w:t>
      </w:r>
      <w:r>
        <w:rPr>
          <w:rFonts w:ascii="方正书宋简体" w:hAnsi="Verdana" w:eastAsia="方正书宋简体" w:cs="方正书宋简体"/>
          <w:kern w:val="0"/>
        </w:rPr>
        <w:t>2015</w:t>
      </w:r>
      <w:r>
        <w:rPr>
          <w:rFonts w:hint="eastAsia" w:ascii="方正书宋简体" w:hAnsi="Verdana" w:eastAsia="方正书宋简体" w:cs="方正书宋简体"/>
          <w:kern w:val="0"/>
        </w:rPr>
        <w:t>年末，屈服强度</w:t>
      </w:r>
      <w:r>
        <w:rPr>
          <w:rFonts w:ascii="方正书宋简体" w:hAnsi="Verdana" w:eastAsia="方正书宋简体" w:cs="方正书宋简体"/>
          <w:kern w:val="0"/>
        </w:rPr>
        <w:t>400</w:t>
      </w:r>
      <w:r>
        <w:rPr>
          <w:rFonts w:hint="eastAsia" w:ascii="方正书宋简体" w:hAnsi="Verdana" w:eastAsia="方正书宋简体" w:cs="方正书宋简体"/>
          <w:kern w:val="0"/>
        </w:rPr>
        <w:t>兆帕以上热轧带肋钢筋用量达到总用量的</w:t>
      </w:r>
      <w:r>
        <w:rPr>
          <w:rFonts w:ascii="方正书宋简体" w:hAnsi="Verdana" w:eastAsia="方正书宋简体" w:cs="方正书宋简体"/>
          <w:kern w:val="0"/>
        </w:rPr>
        <w:t>45%</w:t>
      </w:r>
      <w:r>
        <w:rPr>
          <w:rFonts w:hint="eastAsia" w:ascii="方正书宋简体" w:hAnsi="Verdana" w:eastAsia="方正书宋简体" w:cs="方正书宋简体"/>
          <w:kern w:val="0"/>
        </w:rPr>
        <w:t>。大力发展预拌混凝土、预拌砂浆。研究建立绿色建材认证制度，编制发布绿色建材产品目录，引导规范市场消费。</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（七）实施绿色能源工程。</w:t>
      </w:r>
      <w:r>
        <w:rPr>
          <w:rFonts w:hint="eastAsia" w:ascii="方正书宋简体" w:hAnsi="Verdana" w:eastAsia="方正书宋简体" w:cs="方正书宋简体"/>
          <w:kern w:val="0"/>
        </w:rPr>
        <w:t>在建设工程中因地制宜地推广太阳能、地热能等可再生能源利用。鼓励十八层以下建筑建设太阳能光热系统，鼓励在建筑物屋顶或立面建设分布式光伏发电系统。推动太阳能照明系统建设，新建的城市道路、公园广场及公共室外空间均需优先采用节能灯具或太阳能灯具，逐步推进中心</w:t>
      </w:r>
      <w:r>
        <w:rPr>
          <w:rFonts w:hint="eastAsia" w:ascii="方正书宋简体" w:hAnsi="Verdana" w:eastAsia="方正书宋简体" w:cs="方正书宋简体"/>
          <w:spacing w:val="-8"/>
          <w:kern w:val="0"/>
        </w:rPr>
        <w:t>城区主干道路灯节能改造。充分开发利用地热资源建设集中能源站。</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（八）实施建筑产业现代化工程。</w:t>
      </w:r>
      <w:r>
        <w:rPr>
          <w:rFonts w:hint="eastAsia" w:ascii="方正书宋简体" w:hAnsi="Verdana" w:eastAsia="方正书宋简体" w:cs="方正书宋简体"/>
          <w:kern w:val="0"/>
        </w:rPr>
        <w:t>推广适合工业化生产的装配式混凝土、钢结构等建筑体系，加快发展预制和装配技术，提高建筑工业化技术集成水平。支持集设计、生产、施工于一体的工业化基地建设，开展工业化建筑示范试点。引导住宅产业化发展，推进住宅户型设计标准化和住宅部件系列化，鼓励开发建设全装修商品房。</w:t>
      </w:r>
    </w:p>
    <w:p>
      <w:pPr>
        <w:widowControl/>
        <w:spacing w:line="360" w:lineRule="exact"/>
        <w:ind w:firstLine="31680" w:firstLineChars="200"/>
        <w:jc w:val="left"/>
        <w:textAlignment w:val="bottom"/>
        <w:rPr>
          <w:rFonts w:ascii="方正黑体简体" w:hAnsi="Verdana" w:eastAsia="方正黑体简体" w:cs="Times New Roman"/>
          <w:kern w:val="0"/>
        </w:rPr>
      </w:pPr>
      <w:r>
        <w:rPr>
          <w:rFonts w:hint="eastAsia" w:ascii="方正黑体简体" w:hAnsi="Verdana" w:eastAsia="方正黑体简体" w:cs="方正黑体简体"/>
          <w:kern w:val="0"/>
        </w:rPr>
        <w:t>三、推进措施</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（一）加强组织领导。</w:t>
      </w:r>
      <w:r>
        <w:rPr>
          <w:rFonts w:hint="eastAsia" w:ascii="方正书宋简体" w:hAnsi="Verdana" w:eastAsia="方正书宋简体" w:cs="方正书宋简体"/>
          <w:kern w:val="0"/>
        </w:rPr>
        <w:t>建立由市政府分管城建工作副市长牵头的绿色建筑发展联席会议制度，负责研究绿色建筑发展相关问题，联席会议主要成员单位包括宜昌新区推进办、宜昌高新区管委会、各区政府、市住建委、市发改委、市城管委、市财政局、市规划局、市国土局、市环保局、市房管局、市质监局等部门，联席会议办公室设在市住建委。各县市（含夷陵区、宜昌高新区）要建立相应的领导和工作机制，负责落实本地绿色建筑的发展任务。全市形成上下联动、协同推进绿色建筑发展的工作格局，将绿色建筑发展列入对各县市区党委、政府年度经济社会发展目标责任制考核和市级有关部门年度工作目标责任制考核。</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（二）强化试点示范。</w:t>
      </w:r>
      <w:r>
        <w:rPr>
          <w:rFonts w:hint="eastAsia" w:ascii="方正书宋简体" w:hAnsi="Verdana" w:eastAsia="方正书宋简体" w:cs="方正书宋简体"/>
          <w:kern w:val="0"/>
        </w:rPr>
        <w:t>一是注重新区引领。宜昌新区建设推进办公室在宜昌新区项目筹划中推动绿色建筑发展并督办考核。在新区建设过程中，以绿色建筑为重要抓手，以绿色生态指标为重要依据，确保宜昌新区新建建筑全面达到绿色建筑标准，促进绿色建筑集中连片发展，体现先行先试、示范引领作用。二是推动区域示范。凡新审批的功能区均须组织编制包含绿色建筑、交通、能源、景观、水资源、垃圾处理等内容的绿色生态专项规划，并在控制性详细规划中予以落实，以国家和省级绿色生态示范区为核心，鼓励其他有条件的地区创建绿色生态城区。三是带动村镇建设。确定村镇绿色生态发展重点区域，编制符合本地绿色生态发展要求的新农村规划、农房绿色建设和改造推广图集、村镇绿色建筑技术指南，推广太阳能热水利用、围护结构保温隔热、省柴节煤灶等农房节能技术。</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（三）明确部门职责。</w:t>
      </w:r>
      <w:r>
        <w:rPr>
          <w:rFonts w:hint="eastAsia" w:ascii="方正书宋简体" w:hAnsi="Verdana" w:eastAsia="方正书宋简体" w:cs="方正书宋简体"/>
          <w:kern w:val="0"/>
        </w:rPr>
        <w:t>市住建委负责制定绿色建筑年度发展目标和计划，并将目标分解到各区和市直相关部门；联合市规划局编制《宜昌市绿色建筑设计方案审查要点》等技术性文件；负责绿色建筑建设全过程监管；开展绿色建筑技术集成示范和绿色建材产品推广应用工作。市发改委在项目审批、核准或备案时要严格落实节能评估审查制度，要求建设单位在可行性研究报告中设立绿色建筑专篇，并将实施绿色建筑的增量成本列入投资估算。市规划局在出让用地的规划条件和建设项目选址意见书中，根据用地功能和全市绿色建筑年度实施计划，明确该用地上建筑物的绿色建筑星级和相关指标要求；按照《宜昌市绿色建筑设计方案审查要点》进行设计方案审查。市国土局研究制定促进绿色建筑发展的土地政策，严格按照规划条件中绿色建筑相关要求制定土地招拍挂出让条件，加强土地出让监管。</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（四）规范建设行为。</w:t>
      </w:r>
      <w:r>
        <w:rPr>
          <w:rFonts w:hint="eastAsia" w:ascii="方正书宋简体" w:hAnsi="Verdana" w:eastAsia="方正书宋简体" w:cs="方正书宋简体"/>
          <w:kern w:val="0"/>
        </w:rPr>
        <w:t>建设单位在进行建设项目策划时，应当明确绿色建筑星级以及绿色建筑相关指标要求，并在建设过程中贯彻落实。设计单位根据审查通过的绿色建筑策划方案进行设计，并在设计文件中编制绿色建筑专篇。施工图审查机构应在图审过程中开展绿色建筑专项审查，对施工图设计文件不符合绿色建筑相关要求的，不予出具《施工图审查合格意见书》。施工单位应在施工现场将绿色建筑相关要求进行公示，编制绿色施工方案，并严格按照绿色建筑施工图施工。监理单位应编制绿色建筑监理方案，对绿色建筑施工全过程严格监督。</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（五）加大政策激励。</w:t>
      </w:r>
      <w:r>
        <w:rPr>
          <w:rFonts w:hint="eastAsia" w:ascii="方正书宋简体" w:hAnsi="Verdana" w:eastAsia="方正书宋简体" w:cs="方正书宋简体"/>
          <w:kern w:val="0"/>
        </w:rPr>
        <w:t>对取得绿色建筑设计标识的建设项目，在工程评奖、新技术示范工程认定等方面给予优先考虑，工程竣工验收后全额退付新型墙体材料专项基金。对获得一、二、三星“绿色建筑运行标识”的项目，分别给予</w:t>
      </w:r>
      <w:r>
        <w:rPr>
          <w:rFonts w:ascii="方正书宋简体" w:hAnsi="Verdana" w:eastAsia="方正书宋简体" w:cs="方正书宋简体"/>
          <w:kern w:val="0"/>
        </w:rPr>
        <w:t>10</w:t>
      </w:r>
      <w:r>
        <w:rPr>
          <w:rFonts w:hint="eastAsia" w:ascii="方正书宋简体" w:hAnsi="Verdana" w:eastAsia="方正书宋简体" w:cs="方正书宋简体"/>
          <w:kern w:val="0"/>
        </w:rPr>
        <w:t>元</w:t>
      </w:r>
      <w:r>
        <w:rPr>
          <w:rFonts w:ascii="方正书宋简体" w:hAnsi="Verdana" w:eastAsia="方正书宋简体" w:cs="方正书宋简体"/>
          <w:kern w:val="0"/>
        </w:rPr>
        <w:t>/</w:t>
      </w:r>
      <w:r>
        <w:rPr>
          <w:rFonts w:hint="eastAsia" w:ascii="方正书宋简体" w:hAnsi="Verdana" w:eastAsia="方正书宋简体" w:cs="方正书宋简体"/>
          <w:kern w:val="0"/>
        </w:rPr>
        <w:t>平方米、</w:t>
      </w:r>
      <w:r>
        <w:rPr>
          <w:rFonts w:ascii="方正书宋简体" w:hAnsi="Verdana" w:eastAsia="方正书宋简体" w:cs="方正书宋简体"/>
          <w:kern w:val="0"/>
        </w:rPr>
        <w:t>20</w:t>
      </w:r>
      <w:r>
        <w:rPr>
          <w:rFonts w:hint="eastAsia" w:ascii="方正书宋简体" w:hAnsi="Verdana" w:eastAsia="方正书宋简体" w:cs="方正书宋简体"/>
          <w:kern w:val="0"/>
        </w:rPr>
        <w:t>元</w:t>
      </w:r>
      <w:r>
        <w:rPr>
          <w:rFonts w:ascii="方正书宋简体" w:hAnsi="Verdana" w:eastAsia="方正书宋简体" w:cs="方正书宋简体"/>
          <w:kern w:val="0"/>
        </w:rPr>
        <w:t>/</w:t>
      </w:r>
      <w:r>
        <w:rPr>
          <w:rFonts w:hint="eastAsia" w:ascii="方正书宋简体" w:hAnsi="Verdana" w:eastAsia="方正书宋简体" w:cs="方正书宋简体"/>
          <w:kern w:val="0"/>
        </w:rPr>
        <w:t>平方米、</w:t>
      </w:r>
      <w:r>
        <w:rPr>
          <w:rFonts w:ascii="方正书宋简体" w:hAnsi="Verdana" w:eastAsia="方正书宋简体" w:cs="方正书宋简体"/>
          <w:kern w:val="0"/>
        </w:rPr>
        <w:t>45</w:t>
      </w:r>
      <w:r>
        <w:rPr>
          <w:rFonts w:hint="eastAsia" w:ascii="方正书宋简体" w:hAnsi="Verdana" w:eastAsia="方正书宋简体" w:cs="方正书宋简体"/>
          <w:kern w:val="0"/>
        </w:rPr>
        <w:t>元</w:t>
      </w:r>
      <w:r>
        <w:rPr>
          <w:rFonts w:ascii="方正书宋简体" w:hAnsi="Verdana" w:eastAsia="方正书宋简体" w:cs="方正书宋简体"/>
          <w:kern w:val="0"/>
        </w:rPr>
        <w:t>/</w:t>
      </w:r>
      <w:r>
        <w:rPr>
          <w:rFonts w:hint="eastAsia" w:ascii="方正书宋简体" w:hAnsi="Verdana" w:eastAsia="方正书宋简体" w:cs="方正书宋简体"/>
          <w:kern w:val="0"/>
        </w:rPr>
        <w:t>平方米的奖励。获得国家、省级绿色建筑奖励的项目，不再重复奖励。购买一、二、三星级绿色建筑商品住房，按购房应缴纳契税的</w:t>
      </w:r>
      <w:r>
        <w:rPr>
          <w:rFonts w:ascii="方正书宋简体" w:hAnsi="Verdana" w:eastAsia="方正书宋简体" w:cs="方正书宋简体"/>
          <w:kern w:val="0"/>
        </w:rPr>
        <w:t>10%</w:t>
      </w:r>
      <w:r>
        <w:rPr>
          <w:rFonts w:hint="eastAsia" w:ascii="方正书宋简体" w:hAnsi="Verdana" w:eastAsia="方正书宋简体" w:cs="方正书宋简体"/>
          <w:kern w:val="0"/>
        </w:rPr>
        <w:t>、</w:t>
      </w:r>
      <w:r>
        <w:rPr>
          <w:rFonts w:ascii="方正书宋简体" w:hAnsi="Verdana" w:eastAsia="方正书宋简体" w:cs="方正书宋简体"/>
          <w:kern w:val="0"/>
        </w:rPr>
        <w:t>20%</w:t>
      </w:r>
      <w:r>
        <w:rPr>
          <w:rFonts w:hint="eastAsia" w:ascii="方正书宋简体" w:hAnsi="Verdana" w:eastAsia="方正书宋简体" w:cs="方正书宋简体"/>
          <w:kern w:val="0"/>
        </w:rPr>
        <w:t>、</w:t>
      </w:r>
      <w:r>
        <w:rPr>
          <w:rFonts w:ascii="方正书宋简体" w:hAnsi="Verdana" w:eastAsia="方正书宋简体" w:cs="方正书宋简体"/>
          <w:kern w:val="0"/>
        </w:rPr>
        <w:t>40%</w:t>
      </w:r>
      <w:r>
        <w:rPr>
          <w:rFonts w:hint="eastAsia" w:ascii="方正书宋简体" w:hAnsi="Verdana" w:eastAsia="方正书宋简体" w:cs="方正书宋简体"/>
          <w:kern w:val="0"/>
        </w:rPr>
        <w:t>金额予以奖励。市直相关部门负责出台具体奖励办法，并积极研究其他激励措施，报经市委、市政府审批同意后实施。</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（六）加强技术支撑。</w:t>
      </w:r>
      <w:r>
        <w:rPr>
          <w:rFonts w:hint="eastAsia" w:ascii="方正书宋简体" w:hAnsi="Verdana" w:eastAsia="方正书宋简体" w:cs="方正书宋简体"/>
          <w:kern w:val="0"/>
        </w:rPr>
        <w:t>建立宜昌市绿色建筑技术促进中心，负责绿色建筑技术标准研究、绿色建筑咨询和检测评价，可再生能源建筑一体化应用，既有建筑绿色改造，公共建筑能耗监测等技术工作。积极培育咨询、设计、施工、监理、物业管理等市场主体，推进绿色设计、绿色施工、绿色管理。加强专业人才队伍建设，开展经常性宣传培训工作，将相关知识列入继续教育培训、执业资格考试的重要内容。</w:t>
      </w:r>
    </w:p>
    <w:p>
      <w:pPr>
        <w:widowControl/>
        <w:spacing w:line="360" w:lineRule="exact"/>
        <w:ind w:firstLine="31680" w:firstLineChars="200"/>
        <w:jc w:val="left"/>
        <w:textAlignment w:val="bottom"/>
        <w:rPr>
          <w:rFonts w:ascii="方正书宋简体" w:hAnsi="Verdana" w:eastAsia="方正书宋简体" w:cs="Times New Roman"/>
          <w:kern w:val="0"/>
        </w:rPr>
      </w:pPr>
      <w:r>
        <w:rPr>
          <w:rFonts w:hint="eastAsia" w:ascii="方正楷体简体" w:hAnsi="Verdana" w:eastAsia="方正楷体简体" w:cs="方正楷体简体"/>
          <w:b/>
          <w:bCs/>
          <w:kern w:val="0"/>
        </w:rPr>
        <w:t>（七）营造良好氛围。</w:t>
      </w:r>
      <w:r>
        <w:rPr>
          <w:rFonts w:hint="eastAsia" w:ascii="方正书宋简体" w:hAnsi="Verdana" w:eastAsia="方正书宋简体" w:cs="方正书宋简体"/>
          <w:kern w:val="0"/>
        </w:rPr>
        <w:t>积极宣传绿色建筑法律法规、政策措施、典型案例、先进经验，普及绿色建筑知识，营造绿色建筑发展的良好氛围。提高公众对绿色建筑的认知度，倡导绿色消费理念，引导全社会形成节约资源、保护环境的健康生产生活方式和消费模式。</w:t>
      </w:r>
    </w:p>
    <w:p>
      <w:pPr>
        <w:widowControl/>
        <w:spacing w:line="360" w:lineRule="exact"/>
        <w:ind w:firstLine="167"/>
        <w:jc w:val="left"/>
        <w:textAlignment w:val="bottom"/>
        <w:rPr>
          <w:rFonts w:ascii="方正书宋简体" w:hAnsi="Verdana" w:eastAsia="方正书宋简体" w:cs="Times New Roman"/>
          <w:kern w:val="0"/>
        </w:rPr>
      </w:pPr>
      <w:r>
        <w:rPr>
          <w:rFonts w:ascii="Verdana" w:hAnsi="Verdana" w:eastAsia="方正书宋简体" w:cs="Times New Roman"/>
          <w:kern w:val="0"/>
        </w:rPr>
        <w:t> </w:t>
      </w:r>
    </w:p>
    <w:p>
      <w:pPr>
        <w:widowControl/>
        <w:spacing w:line="360" w:lineRule="exact"/>
        <w:ind w:firstLine="167"/>
        <w:jc w:val="left"/>
        <w:textAlignment w:val="bottom"/>
        <w:rPr>
          <w:rFonts w:ascii="方正书宋简体" w:hAnsi="Verdana" w:eastAsia="方正书宋简体" w:cs="Times New Roman"/>
          <w:kern w:val="0"/>
        </w:rPr>
      </w:pPr>
      <w:r>
        <w:rPr>
          <w:rFonts w:ascii="Verdana" w:hAnsi="Verdana" w:eastAsia="方正书宋简体" w:cs="Times New Roman"/>
          <w:kern w:val="0"/>
        </w:rPr>
        <w:t> </w:t>
      </w:r>
    </w:p>
    <w:p>
      <w:pPr>
        <w:widowControl/>
        <w:spacing w:line="360" w:lineRule="exact"/>
        <w:ind w:firstLine="480"/>
        <w:jc w:val="right"/>
        <w:textAlignment w:val="bottom"/>
        <w:rPr>
          <w:rFonts w:ascii="方正书宋简体" w:hAnsi="Verdana" w:eastAsia="方正书宋简体" w:cs="Times New Roman"/>
          <w:kern w:val="0"/>
        </w:rPr>
      </w:pPr>
      <w:r>
        <w:rPr>
          <w:rFonts w:hint="eastAsia" w:ascii="方正书宋简体" w:hAnsi="Verdana" w:eastAsia="方正书宋简体" w:cs="方正书宋简体"/>
          <w:kern w:val="0"/>
        </w:rPr>
        <w:t>二</w:t>
      </w:r>
      <w:r>
        <w:rPr>
          <w:rFonts w:hint="eastAsia" w:ascii="方正书宋简体" w:hAnsi="Verdana" w:cs="宋体"/>
          <w:kern w:val="0"/>
        </w:rPr>
        <w:t>〇</w:t>
      </w:r>
      <w:r>
        <w:rPr>
          <w:rFonts w:hint="eastAsia" w:ascii="方正书宋简体" w:hAnsi="Verdana" w:eastAsia="方正书宋简体" w:cs="方正书宋简体"/>
          <w:kern w:val="0"/>
        </w:rPr>
        <w:t>一五年二月五日</w:t>
      </w:r>
    </w:p>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Courier New">
    <w:panose1 w:val="02070309020205020404"/>
    <w:charset w:val="00"/>
    <w:family w:val="decorative"/>
    <w:pitch w:val="default"/>
    <w:sig w:usb0="E0002AFF" w:usb1="C0007843" w:usb2="00000009" w:usb3="00000000" w:csb0="400001FF" w:csb1="FFFF0000"/>
  </w:font>
  <w:font w:name="方正大标宋简体">
    <w:altName w:val="宋体"/>
    <w:panose1 w:val="03000509000000000000"/>
    <w:charset w:val="86"/>
    <w:family w:val="auto"/>
    <w:pitch w:val="default"/>
    <w:sig w:usb0="00000000" w:usb1="00000000" w:usb2="00000010" w:usb3="00000000" w:csb0="00040000" w:csb1="00000000"/>
  </w:font>
  <w:font w:name="方正楷体简体">
    <w:altName w:val="方正兰亭超细黑简体"/>
    <w:panose1 w:val="03000509000000000000"/>
    <w:charset w:val="86"/>
    <w:family w:val="auto"/>
    <w:pitch w:val="default"/>
    <w:sig w:usb0="00000000" w:usb1="00000000" w:usb2="00000010" w:usb3="00000000" w:csb0="00040000" w:csb1="00000000"/>
  </w:font>
  <w:font w:name="方正书宋简体">
    <w:altName w:val="宋体"/>
    <w:panose1 w:val="03000509000000000000"/>
    <w:charset w:val="86"/>
    <w:family w:val="auto"/>
    <w:pitch w:val="default"/>
    <w:sig w:usb0="00000000" w:usb1="00000000" w:usb2="00000010" w:usb3="00000000" w:csb0="00040000" w:csb1="00000000"/>
  </w:font>
  <w:font w:name="方正黑体简体">
    <w:altName w:val="微软雅黑"/>
    <w:panose1 w:val="03000509000000000000"/>
    <w:charset w:val="86"/>
    <w:family w:val="auto"/>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方正小标宋简体">
    <w:altName w:val="方正兰亭超细黑简体"/>
    <w:panose1 w:val="03000509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decorative"/>
    <w:pitch w:val="default"/>
    <w:sig w:usb0="800002BF" w:usb1="38CF7CFA" w:usb2="00000016" w:usb3="00000000" w:csb0="00040001" w:csb1="00000000"/>
  </w:font>
  <w:font w:name="创艺简标宋">
    <w:altName w:val="方正兰亭超细黑简体"/>
    <w:panose1 w:val="00000000000000000000"/>
    <w:charset w:val="86"/>
    <w:family w:val="auto"/>
    <w:pitch w:val="default"/>
    <w:sig w:usb0="00000000" w:usb1="00000000" w:usb2="00000010" w:usb3="00000000" w:csb0="00040000" w:csb1="00000000"/>
  </w:font>
  <w:font w:name="Verdana">
    <w:panose1 w:val="020B0604030504040204"/>
    <w:charset w:val="00"/>
    <w:family w:val="roman"/>
    <w:pitch w:val="default"/>
    <w:sig w:usb0="A10006FF" w:usb1="4000205B" w:usb2="00000010" w:usb3="00000000" w:csb0="2000019F" w:csb1="00000000"/>
  </w:font>
  <w:font w:name="楷体_GB2312">
    <w:altName w:val="楷体"/>
    <w:panose1 w:val="02010609030101010101"/>
    <w:charset w:val="86"/>
    <w:family w:val="decorative"/>
    <w:pitch w:val="default"/>
    <w:sig w:usb0="00000000" w:usb1="00000000" w:usb2="00000010" w:usb3="00000000" w:csb0="00040000" w:csb1="00000000"/>
  </w:font>
  <w:font w:name="微软雅黑">
    <w:panose1 w:val="020B0503020204020204"/>
    <w:charset w:val="86"/>
    <w:family w:val="auto"/>
    <w:pitch w:val="default"/>
    <w:sig w:usb0="A0000287" w:usb1="28CF3C52" w:usb2="00000016" w:usb3="00000000" w:csb0="0004001F" w:csb1="00000000"/>
  </w:font>
  <w:font w:name="Arial">
    <w:panose1 w:val="020B0604020202020204"/>
    <w:charset w:val="00"/>
    <w:family w:val="roman"/>
    <w:pitch w:val="default"/>
    <w:sig w:usb0="E0002AFF" w:usb1="C0007843" w:usb2="00000009" w:usb3="00000000" w:csb0="400001FF" w:csb1="FFFF0000"/>
  </w:font>
  <w:font w:name="方正粗圆简体">
    <w:altName w:val="宋体"/>
    <w:panose1 w:val="03000509000000000000"/>
    <w:charset w:val="86"/>
    <w:family w:val="script"/>
    <w:pitch w:val="default"/>
    <w:sig w:usb0="00000000" w:usb1="00000000" w:usb2="00000010" w:usb3="00000000" w:csb0="00040000" w:csb1="00000000"/>
  </w:font>
  <w:font w:name="方正大标宋_GBK">
    <w:altName w:val="黑体"/>
    <w:panose1 w:val="03000509000000000000"/>
    <w:charset w:val="86"/>
    <w:family w:val="script"/>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方正兰亭超细黑简体">
    <w:panose1 w:val="02000000000000000000"/>
    <w:charset w:val="86"/>
    <w:family w:val="auto"/>
    <w:pitch w:val="default"/>
    <w:sig w:usb0="00000001" w:usb1="08000000" w:usb2="00000000" w:usb3="00000000" w:csb0="00040000" w:csb1="00000000"/>
  </w:font>
  <w:font w:name="Dotum">
    <w:panose1 w:val="020B0600000101010101"/>
    <w:charset w:val="81"/>
    <w:family w:val="auto"/>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黑体">
    <w:panose1 w:val="02010609060101010101"/>
    <w:charset w:val="86"/>
    <w:family w:val="script"/>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Courier New">
    <w:panose1 w:val="02070309020205020404"/>
    <w:charset w:val="00"/>
    <w:family w:val="roman"/>
    <w:pitch w:val="default"/>
    <w:sig w:usb0="E0002AFF" w:usb1="C0007843" w:usb2="00000009" w:usb3="00000000" w:csb0="400001FF" w:csb1="FFFF0000"/>
  </w:font>
  <w:font w:name="仿宋_GB2312">
    <w:altName w:val="仿宋"/>
    <w:panose1 w:val="02010609030101010101"/>
    <w:charset w:val="86"/>
    <w:family w:val="roman"/>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 w:name="Verdana">
    <w:panose1 w:val="020B0604030504040204"/>
    <w:charset w:val="00"/>
    <w:family w:val="modern"/>
    <w:pitch w:val="default"/>
    <w:sig w:usb0="A10006FF" w:usb1="4000205B" w:usb2="00000010" w:usb3="00000000" w:csb0="2000019F" w:csb1="00000000"/>
  </w:font>
  <w:font w:name="楷体_GB2312">
    <w:altName w:val="楷体"/>
    <w:panose1 w:val="02010609030101010101"/>
    <w:charset w:val="86"/>
    <w:family w:val="roman"/>
    <w:pitch w:val="default"/>
    <w:sig w:usb0="00000000" w:usb1="00000000" w:usb2="00000010" w:usb3="00000000" w:csb0="00040000" w:csb1="00000000"/>
  </w:font>
  <w:font w:name="Arial">
    <w:panose1 w:val="020B0604020202020204"/>
    <w:charset w:val="00"/>
    <w:family w:val="modern"/>
    <w:pitch w:val="default"/>
    <w:sig w:usb0="E0002AFF" w:usb1="C0007843" w:usb2="00000009" w:usb3="00000000" w:csb0="400001FF" w:csb1="FFFF0000"/>
  </w:font>
  <w:font w:name="楷体">
    <w:panose1 w:val="02010609060101010101"/>
    <w:charset w:val="86"/>
    <w:family w:val="roman"/>
    <w:pitch w:val="default"/>
    <w:sig w:usb0="800002BF" w:usb1="38CF7CFA" w:usb2="00000016" w:usb3="00000000" w:csb0="00040001" w:csb1="00000000"/>
  </w:font>
  <w:font w:name="方正书宋简体">
    <w:altName w:val="宋体"/>
    <w:panose1 w:val="00000000000000000000"/>
    <w:charset w:val="00"/>
    <w:family w:val="auto"/>
    <w:pitch w:val="default"/>
    <w:sig w:usb0="00000000" w:usb1="00000000" w:usb2="00000000" w:usb3="00000000" w:csb0="0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0E03F6"/>
    <w:rsid w:val="660E03F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2016-03-29T07:39:00Z</dcterms:created>
  <dc:creator>Administrator</dc:creator>
  <cp:lastModifiedBy>Administrator</cp:lastModifiedBy>
  <dcterms:modified xsi:type="dcterms:W3CDTF">2016-03-29T07:39:42Z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