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jc w:val="center"/>
        <w:rPr>
          <w:rFonts w:ascii="Times New Roman" w:hAnsi="Times New Roman" w:eastAsia="方正黑体简体" w:cs="Times New Roman"/>
          <w:b/>
          <w:bCs/>
          <w:sz w:val="28"/>
          <w:szCs w:val="28"/>
        </w:rPr>
      </w:pPr>
      <w:r>
        <w:rPr>
          <w:rFonts w:hint="eastAsia" w:ascii="Times New Roman" w:hAnsi="Times New Roman" w:eastAsia="方正黑体简体" w:cs="方正黑体简体"/>
          <w:b/>
          <w:bCs/>
          <w:sz w:val="28"/>
          <w:szCs w:val="28"/>
        </w:rPr>
        <w:t>全省工程质量管理标准化试点示范工程名单</w:t>
      </w:r>
    </w:p>
    <w:tbl>
      <w:tblPr>
        <w:tblStyle w:val="3"/>
        <w:tblW w:w="827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62"/>
        <w:gridCol w:w="62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tblHeader/>
          <w:jc w:val="center"/>
        </w:trPr>
        <w:tc>
          <w:tcPr>
            <w:tcW w:w="2062" w:type="dxa"/>
            <w:vAlign w:val="center"/>
          </w:tcPr>
          <w:p>
            <w:pPr>
              <w:spacing w:line="400" w:lineRule="exact"/>
              <w:jc w:val="center"/>
              <w:rPr>
                <w:rFonts w:ascii="方正书宋简体" w:hAnsi="Times New Roman" w:eastAsia="方正书宋简体" w:cs="Times New Roman"/>
                <w:b/>
                <w:bCs/>
                <w:color w:val="000000"/>
                <w:kern w:val="0"/>
              </w:rPr>
            </w:pPr>
            <w:r>
              <w:rPr>
                <w:rFonts w:hint="eastAsia" w:ascii="方正书宋简体" w:hAnsi="Times New Roman" w:eastAsia="方正书宋简体" w:cs="方正书宋简体"/>
                <w:b/>
                <w:bCs/>
                <w:color w:val="000000"/>
                <w:kern w:val="0"/>
              </w:rPr>
              <w:t>地区</w:t>
            </w:r>
          </w:p>
        </w:tc>
        <w:tc>
          <w:tcPr>
            <w:tcW w:w="6216" w:type="dxa"/>
            <w:vAlign w:val="center"/>
          </w:tcPr>
          <w:p>
            <w:pPr>
              <w:spacing w:line="400" w:lineRule="exact"/>
              <w:jc w:val="center"/>
              <w:rPr>
                <w:rFonts w:ascii="方正书宋简体" w:hAnsi="Times New Roman" w:eastAsia="方正书宋简体" w:cs="Times New Roman"/>
                <w:b/>
                <w:bCs/>
                <w:color w:val="000000"/>
                <w:kern w:val="0"/>
              </w:rPr>
            </w:pPr>
            <w:r>
              <w:rPr>
                <w:rFonts w:hint="eastAsia" w:ascii="方正书宋简体" w:hAnsi="Times New Roman" w:eastAsia="方正书宋简体" w:cs="方正书宋简体"/>
                <w:b/>
                <w:bCs/>
                <w:color w:val="000000"/>
                <w:kern w:val="0"/>
              </w:rPr>
              <w:t>项目名称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062" w:type="dxa"/>
            <w:vMerge w:val="restart"/>
            <w:vAlign w:val="center"/>
          </w:tcPr>
          <w:p>
            <w:pPr>
              <w:jc w:val="center"/>
              <w:rPr>
                <w:rFonts w:ascii="方正书宋简体" w:hAnsi="Times New Roman" w:eastAsia="方正书宋简体" w:cs="Times New Roman"/>
              </w:rPr>
            </w:pPr>
            <w:r>
              <w:rPr>
                <w:rFonts w:hint="eastAsia" w:ascii="方正书宋简体" w:hAnsi="Times New Roman" w:eastAsia="方正书宋简体" w:cs="方正书宋简体"/>
                <w:kern w:val="0"/>
              </w:rPr>
              <w:t>武汉市</w:t>
            </w:r>
          </w:p>
        </w:tc>
        <w:tc>
          <w:tcPr>
            <w:tcW w:w="6216" w:type="dxa"/>
            <w:vAlign w:val="center"/>
          </w:tcPr>
          <w:p>
            <w:pPr>
              <w:rPr>
                <w:rFonts w:ascii="方正书宋简体" w:hAnsi="Times New Roman" w:eastAsia="方正书宋简体" w:cs="Times New Roman"/>
                <w:color w:val="000000"/>
                <w:kern w:val="0"/>
              </w:rPr>
            </w:pPr>
            <w:r>
              <w:rPr>
                <w:rFonts w:hint="eastAsia" w:ascii="方正书宋简体" w:hAnsi="Times New Roman" w:eastAsia="方正书宋简体" w:cs="方正书宋简体"/>
              </w:rPr>
              <w:t>青扬城市广场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062" w:type="dxa"/>
            <w:vMerge w:val="continue"/>
            <w:vAlign w:val="center"/>
          </w:tcPr>
          <w:p>
            <w:pPr>
              <w:jc w:val="center"/>
              <w:rPr>
                <w:rFonts w:ascii="方正书宋简体" w:hAnsi="Times New Roman" w:eastAsia="方正书宋简体" w:cs="Times New Roman"/>
              </w:rPr>
            </w:pPr>
          </w:p>
        </w:tc>
        <w:tc>
          <w:tcPr>
            <w:tcW w:w="6216" w:type="dxa"/>
            <w:vAlign w:val="center"/>
          </w:tcPr>
          <w:p>
            <w:pPr>
              <w:rPr>
                <w:rFonts w:ascii="方正书宋简体" w:hAnsi="Times New Roman" w:eastAsia="方正书宋简体" w:cs="Times New Roman"/>
                <w:color w:val="000000"/>
                <w:kern w:val="0"/>
              </w:rPr>
            </w:pPr>
            <w:r>
              <w:rPr>
                <w:rFonts w:hint="eastAsia" w:ascii="方正书宋简体" w:hAnsi="Times New Roman" w:eastAsia="方正书宋简体" w:cs="方正书宋简体"/>
              </w:rPr>
              <w:t>长城汇办公楼、商业裙房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062" w:type="dxa"/>
            <w:vMerge w:val="continue"/>
            <w:vAlign w:val="center"/>
          </w:tcPr>
          <w:p>
            <w:pPr>
              <w:jc w:val="center"/>
              <w:rPr>
                <w:rFonts w:ascii="方正书宋简体" w:hAnsi="Times New Roman" w:eastAsia="方正书宋简体" w:cs="Times New Roman"/>
              </w:rPr>
            </w:pPr>
          </w:p>
        </w:tc>
        <w:tc>
          <w:tcPr>
            <w:tcW w:w="6216" w:type="dxa"/>
            <w:vAlign w:val="center"/>
          </w:tcPr>
          <w:p>
            <w:pPr>
              <w:rPr>
                <w:rFonts w:ascii="方正书宋简体" w:hAnsi="Times New Roman" w:eastAsia="方正书宋简体" w:cs="Times New Roman"/>
                <w:color w:val="000000"/>
                <w:kern w:val="0"/>
              </w:rPr>
            </w:pPr>
            <w:r>
              <w:rPr>
                <w:rFonts w:hint="eastAsia" w:ascii="方正书宋简体" w:hAnsi="Times New Roman" w:eastAsia="方正书宋简体" w:cs="方正书宋简体"/>
              </w:rPr>
              <w:t>万科金色城市</w:t>
            </w:r>
            <w:r>
              <w:rPr>
                <w:rFonts w:ascii="方正书宋简体" w:hAnsi="Times New Roman" w:eastAsia="方正书宋简体" w:cs="方正书宋简体"/>
              </w:rPr>
              <w:t>K3</w:t>
            </w:r>
            <w:r>
              <w:rPr>
                <w:rFonts w:hint="eastAsia" w:ascii="方正书宋简体" w:hAnsi="Times New Roman" w:eastAsia="方正书宋简体" w:cs="方正书宋简体"/>
              </w:rPr>
              <w:t>地块工程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062" w:type="dxa"/>
            <w:vMerge w:val="continue"/>
            <w:vAlign w:val="center"/>
          </w:tcPr>
          <w:p>
            <w:pPr>
              <w:jc w:val="center"/>
              <w:rPr>
                <w:rFonts w:ascii="方正书宋简体" w:hAnsi="Times New Roman" w:eastAsia="方正书宋简体" w:cs="Times New Roman"/>
              </w:rPr>
            </w:pPr>
          </w:p>
        </w:tc>
        <w:tc>
          <w:tcPr>
            <w:tcW w:w="6216" w:type="dxa"/>
            <w:vAlign w:val="center"/>
          </w:tcPr>
          <w:p>
            <w:pPr>
              <w:rPr>
                <w:rFonts w:ascii="方正书宋简体" w:hAnsi="Times New Roman" w:eastAsia="方正书宋简体" w:cs="Times New Roman"/>
              </w:rPr>
            </w:pPr>
            <w:r>
              <w:rPr>
                <w:rFonts w:hint="eastAsia" w:ascii="方正书宋简体" w:hAnsi="Times New Roman" w:eastAsia="方正书宋简体" w:cs="方正书宋简体"/>
              </w:rPr>
              <w:t>青山老工业棚户区改造工程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062" w:type="dxa"/>
            <w:vMerge w:val="continue"/>
            <w:vAlign w:val="center"/>
          </w:tcPr>
          <w:p>
            <w:pPr>
              <w:jc w:val="center"/>
              <w:rPr>
                <w:rFonts w:ascii="方正书宋简体" w:hAnsi="Times New Roman" w:eastAsia="方正书宋简体" w:cs="Times New Roman"/>
              </w:rPr>
            </w:pPr>
          </w:p>
        </w:tc>
        <w:tc>
          <w:tcPr>
            <w:tcW w:w="6216" w:type="dxa"/>
            <w:vAlign w:val="center"/>
          </w:tcPr>
          <w:p>
            <w:pPr>
              <w:rPr>
                <w:rFonts w:ascii="方正书宋简体" w:hAnsi="Times New Roman" w:eastAsia="方正书宋简体" w:cs="Times New Roman"/>
                <w:color w:val="000000"/>
                <w:kern w:val="0"/>
              </w:rPr>
            </w:pPr>
            <w:r>
              <w:rPr>
                <w:rFonts w:hint="eastAsia" w:ascii="方正书宋简体" w:hAnsi="Times New Roman" w:eastAsia="方正书宋简体" w:cs="方正书宋简体"/>
              </w:rPr>
              <w:t>美联·石桥永旺梦乐城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062" w:type="dxa"/>
            <w:vMerge w:val="continue"/>
            <w:vAlign w:val="center"/>
          </w:tcPr>
          <w:p>
            <w:pPr>
              <w:jc w:val="center"/>
              <w:rPr>
                <w:rFonts w:ascii="方正书宋简体" w:hAnsi="Times New Roman" w:eastAsia="方正书宋简体" w:cs="Times New Roman"/>
              </w:rPr>
            </w:pPr>
          </w:p>
        </w:tc>
        <w:tc>
          <w:tcPr>
            <w:tcW w:w="6216" w:type="dxa"/>
            <w:vAlign w:val="center"/>
          </w:tcPr>
          <w:p>
            <w:pPr>
              <w:rPr>
                <w:rFonts w:ascii="方正书宋简体" w:hAnsi="Times New Roman" w:eastAsia="方正书宋简体" w:cs="Times New Roman"/>
                <w:color w:val="000000"/>
                <w:kern w:val="0"/>
              </w:rPr>
            </w:pPr>
            <w:r>
              <w:rPr>
                <w:rFonts w:hint="eastAsia" w:ascii="方正书宋简体" w:hAnsi="Times New Roman" w:eastAsia="方正书宋简体" w:cs="方正书宋简体"/>
                <w:color w:val="000000"/>
                <w:kern w:val="0"/>
              </w:rPr>
              <w:t>越秀精武路一期项目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062" w:type="dxa"/>
            <w:vMerge w:val="restart"/>
            <w:vAlign w:val="center"/>
          </w:tcPr>
          <w:p>
            <w:pPr>
              <w:jc w:val="center"/>
              <w:rPr>
                <w:rFonts w:ascii="方正书宋简体" w:hAnsi="Times New Roman" w:eastAsia="方正书宋简体" w:cs="Times New Roman"/>
              </w:rPr>
            </w:pPr>
            <w:r>
              <w:rPr>
                <w:rFonts w:hint="eastAsia" w:ascii="方正书宋简体" w:hAnsi="Times New Roman" w:eastAsia="方正书宋简体" w:cs="方正书宋简体"/>
                <w:color w:val="000000"/>
                <w:kern w:val="0"/>
              </w:rPr>
              <w:t>黄石市</w:t>
            </w:r>
          </w:p>
        </w:tc>
        <w:tc>
          <w:tcPr>
            <w:tcW w:w="6216" w:type="dxa"/>
            <w:vAlign w:val="center"/>
          </w:tcPr>
          <w:p>
            <w:pPr>
              <w:rPr>
                <w:rFonts w:ascii="方正书宋简体" w:hAnsi="Times New Roman" w:eastAsia="方正书宋简体" w:cs="Times New Roman"/>
                <w:color w:val="000000"/>
                <w:kern w:val="0"/>
              </w:rPr>
            </w:pPr>
            <w:r>
              <w:rPr>
                <w:rFonts w:hint="eastAsia" w:ascii="方正书宋简体" w:hAnsi="Times New Roman" w:eastAsia="方正书宋简体" w:cs="方正书宋简体"/>
                <w:color w:val="000000"/>
                <w:kern w:val="0"/>
              </w:rPr>
              <w:t>杭州公馆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062" w:type="dxa"/>
            <w:vMerge w:val="continue"/>
            <w:vAlign w:val="center"/>
          </w:tcPr>
          <w:p>
            <w:pPr>
              <w:jc w:val="center"/>
              <w:rPr>
                <w:rFonts w:ascii="方正书宋简体" w:hAnsi="Times New Roman" w:eastAsia="方正书宋简体" w:cs="Times New Roman"/>
              </w:rPr>
            </w:pPr>
          </w:p>
        </w:tc>
        <w:tc>
          <w:tcPr>
            <w:tcW w:w="6216" w:type="dxa"/>
            <w:vAlign w:val="center"/>
          </w:tcPr>
          <w:p>
            <w:pPr>
              <w:rPr>
                <w:rFonts w:ascii="方正书宋简体" w:hAnsi="Times New Roman" w:eastAsia="方正书宋简体" w:cs="Times New Roman"/>
                <w:color w:val="000000"/>
                <w:kern w:val="0"/>
              </w:rPr>
            </w:pPr>
            <w:r>
              <w:rPr>
                <w:rFonts w:hint="eastAsia" w:ascii="方正书宋简体" w:hAnsi="Times New Roman" w:eastAsia="方正书宋简体" w:cs="方正书宋简体"/>
                <w:color w:val="000000"/>
                <w:kern w:val="0"/>
              </w:rPr>
              <w:t>扬子尚居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062" w:type="dxa"/>
            <w:vMerge w:val="continue"/>
            <w:vAlign w:val="center"/>
          </w:tcPr>
          <w:p>
            <w:pPr>
              <w:jc w:val="center"/>
              <w:rPr>
                <w:rFonts w:ascii="方正书宋简体" w:hAnsi="Times New Roman" w:eastAsia="方正书宋简体" w:cs="Times New Roman"/>
                <w:color w:val="000000"/>
                <w:kern w:val="0"/>
              </w:rPr>
            </w:pPr>
          </w:p>
        </w:tc>
        <w:tc>
          <w:tcPr>
            <w:tcW w:w="6216" w:type="dxa"/>
            <w:vAlign w:val="center"/>
          </w:tcPr>
          <w:p>
            <w:pPr>
              <w:rPr>
                <w:rFonts w:ascii="方正书宋简体" w:hAnsi="Times New Roman" w:eastAsia="方正书宋简体" w:cs="Times New Roman"/>
                <w:color w:val="000000"/>
                <w:kern w:val="0"/>
              </w:rPr>
            </w:pPr>
            <w:r>
              <w:rPr>
                <w:rFonts w:hint="eastAsia" w:ascii="方正书宋简体" w:hAnsi="Times New Roman" w:eastAsia="方正书宋简体" w:cs="方正书宋简体"/>
                <w:color w:val="000000"/>
                <w:kern w:val="0"/>
              </w:rPr>
              <w:t>大冶宏维人家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062" w:type="dxa"/>
            <w:vMerge w:val="restart"/>
            <w:vAlign w:val="center"/>
          </w:tcPr>
          <w:p>
            <w:pPr>
              <w:jc w:val="center"/>
              <w:rPr>
                <w:rFonts w:ascii="方正书宋简体" w:hAnsi="Times New Roman" w:eastAsia="方正书宋简体" w:cs="Times New Roman"/>
              </w:rPr>
            </w:pPr>
            <w:r>
              <w:rPr>
                <w:rFonts w:hint="eastAsia" w:ascii="方正书宋简体" w:hAnsi="Times New Roman" w:eastAsia="方正书宋简体" w:cs="方正书宋简体"/>
                <w:kern w:val="0"/>
              </w:rPr>
              <w:t>襄阳市</w:t>
            </w:r>
          </w:p>
        </w:tc>
        <w:tc>
          <w:tcPr>
            <w:tcW w:w="6216" w:type="dxa"/>
            <w:vAlign w:val="center"/>
          </w:tcPr>
          <w:p>
            <w:pPr>
              <w:rPr>
                <w:rFonts w:ascii="方正书宋简体" w:hAnsi="Times New Roman" w:eastAsia="方正书宋简体" w:cs="Times New Roman"/>
                <w:kern w:val="0"/>
              </w:rPr>
            </w:pPr>
            <w:r>
              <w:rPr>
                <w:rFonts w:hint="eastAsia" w:ascii="方正书宋简体" w:hAnsi="Times New Roman" w:eastAsia="方正书宋简体" w:cs="方正书宋简体"/>
                <w:kern w:val="0"/>
              </w:rPr>
              <w:t>湖北文理学院科技园工研院项目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062" w:type="dxa"/>
            <w:vMerge w:val="continue"/>
            <w:vAlign w:val="center"/>
          </w:tcPr>
          <w:p>
            <w:pPr>
              <w:jc w:val="center"/>
              <w:rPr>
                <w:rFonts w:ascii="方正书宋简体" w:hAnsi="Times New Roman" w:eastAsia="方正书宋简体" w:cs="Times New Roman"/>
              </w:rPr>
            </w:pPr>
          </w:p>
        </w:tc>
        <w:tc>
          <w:tcPr>
            <w:tcW w:w="6216" w:type="dxa"/>
            <w:vAlign w:val="center"/>
          </w:tcPr>
          <w:p>
            <w:pPr>
              <w:rPr>
                <w:rFonts w:ascii="方正书宋简体" w:hAnsi="Times New Roman" w:eastAsia="方正书宋简体" w:cs="Times New Roman"/>
                <w:kern w:val="0"/>
              </w:rPr>
            </w:pPr>
            <w:r>
              <w:rPr>
                <w:rFonts w:hint="eastAsia" w:ascii="方正书宋简体" w:hAnsi="Times New Roman" w:eastAsia="方正书宋简体" w:cs="方正书宋简体"/>
                <w:kern w:val="0"/>
              </w:rPr>
              <w:t>襄阳南国城市广场</w:t>
            </w:r>
            <w:r>
              <w:rPr>
                <w:rFonts w:ascii="方正书宋简体" w:hAnsi="Times New Roman" w:eastAsia="方正书宋简体" w:cs="方正书宋简体"/>
                <w:kern w:val="0"/>
              </w:rPr>
              <w:t>9#</w:t>
            </w:r>
            <w:r>
              <w:rPr>
                <w:rFonts w:hint="eastAsia" w:ascii="方正书宋简体" w:hAnsi="Times New Roman" w:eastAsia="方正书宋简体" w:cs="方正书宋简体"/>
                <w:kern w:val="0"/>
              </w:rPr>
              <w:t>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062" w:type="dxa"/>
            <w:vMerge w:val="continue"/>
            <w:vAlign w:val="center"/>
          </w:tcPr>
          <w:p>
            <w:pPr>
              <w:jc w:val="center"/>
              <w:rPr>
                <w:rFonts w:ascii="方正书宋简体" w:hAnsi="Times New Roman" w:eastAsia="方正书宋简体" w:cs="Times New Roman"/>
                <w:kern w:val="0"/>
              </w:rPr>
            </w:pPr>
          </w:p>
        </w:tc>
        <w:tc>
          <w:tcPr>
            <w:tcW w:w="6216" w:type="dxa"/>
            <w:vAlign w:val="center"/>
          </w:tcPr>
          <w:p>
            <w:pPr>
              <w:rPr>
                <w:rFonts w:ascii="方正书宋简体" w:hAnsi="Times New Roman" w:eastAsia="方正书宋简体" w:cs="Times New Roman"/>
                <w:kern w:val="0"/>
              </w:rPr>
            </w:pPr>
            <w:r>
              <w:rPr>
                <w:rFonts w:hint="eastAsia" w:ascii="方正书宋简体" w:hAnsi="Times New Roman" w:eastAsia="方正书宋简体" w:cs="方正书宋简体"/>
                <w:kern w:val="0"/>
              </w:rPr>
              <w:t>樊城衡庄保障性住房功能区项目</w:t>
            </w:r>
            <w:r>
              <w:rPr>
                <w:rFonts w:ascii="方正书宋简体" w:hAnsi="Times New Roman" w:eastAsia="方正书宋简体" w:cs="方正书宋简体"/>
                <w:kern w:val="0"/>
              </w:rPr>
              <w:t>A</w:t>
            </w:r>
            <w:r>
              <w:rPr>
                <w:rFonts w:hint="eastAsia" w:ascii="方正书宋简体" w:hAnsi="Times New Roman" w:eastAsia="方正书宋简体" w:cs="方正书宋简体"/>
                <w:kern w:val="0"/>
              </w:rPr>
              <w:t>地块</w:t>
            </w:r>
            <w:r>
              <w:rPr>
                <w:rFonts w:ascii="方正书宋简体" w:hAnsi="Times New Roman" w:eastAsia="方正书宋简体" w:cs="方正书宋简体"/>
                <w:kern w:val="0"/>
              </w:rPr>
              <w:t>7#</w:t>
            </w:r>
            <w:r>
              <w:rPr>
                <w:rFonts w:hint="eastAsia" w:ascii="方正书宋简体" w:hAnsi="Times New Roman" w:eastAsia="方正书宋简体" w:cs="方正书宋简体"/>
                <w:kern w:val="0"/>
              </w:rPr>
              <w:t>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062" w:type="dxa"/>
            <w:vMerge w:val="restart"/>
            <w:vAlign w:val="center"/>
          </w:tcPr>
          <w:p>
            <w:pPr>
              <w:jc w:val="center"/>
              <w:rPr>
                <w:rFonts w:ascii="方正书宋简体" w:hAnsi="Times New Roman" w:eastAsia="方正书宋简体" w:cs="Times New Roman"/>
              </w:rPr>
            </w:pPr>
            <w:r>
              <w:rPr>
                <w:rFonts w:hint="eastAsia" w:ascii="方正书宋简体" w:hAnsi="Times New Roman" w:eastAsia="方正书宋简体" w:cs="方正书宋简体"/>
                <w:color w:val="000000"/>
                <w:kern w:val="0"/>
              </w:rPr>
              <w:t>宜昌市</w:t>
            </w:r>
          </w:p>
        </w:tc>
        <w:tc>
          <w:tcPr>
            <w:tcW w:w="6216" w:type="dxa"/>
            <w:vAlign w:val="center"/>
          </w:tcPr>
          <w:p>
            <w:pPr>
              <w:rPr>
                <w:rFonts w:ascii="方正书宋简体" w:hAnsi="Times New Roman" w:eastAsia="方正书宋简体" w:cs="Times New Roman"/>
                <w:color w:val="000000"/>
                <w:kern w:val="0"/>
              </w:rPr>
            </w:pPr>
            <w:r>
              <w:rPr>
                <w:rFonts w:hint="eastAsia" w:ascii="方正书宋简体" w:hAnsi="Times New Roman" w:eastAsia="方正书宋简体" w:cs="方正书宋简体"/>
              </w:rPr>
              <w:t>东辰心语二标段</w:t>
            </w:r>
            <w:r>
              <w:rPr>
                <w:rFonts w:ascii="方正书宋简体" w:hAnsi="Times New Roman" w:eastAsia="方正书宋简体" w:cs="方正书宋简体"/>
              </w:rPr>
              <w:t>C</w:t>
            </w:r>
            <w:r>
              <w:rPr>
                <w:rFonts w:hint="eastAsia" w:ascii="方正书宋简体" w:hAnsi="Times New Roman" w:eastAsia="方正书宋简体" w:cs="方正书宋简体"/>
              </w:rPr>
              <w:t>区</w:t>
            </w:r>
            <w:r>
              <w:rPr>
                <w:rFonts w:ascii="方正书宋简体" w:hAnsi="Times New Roman" w:eastAsia="方正书宋简体" w:cs="方正书宋简体"/>
              </w:rPr>
              <w:t>1#-5#</w:t>
            </w:r>
            <w:r>
              <w:rPr>
                <w:rFonts w:hint="eastAsia" w:ascii="方正书宋简体" w:hAnsi="Times New Roman" w:eastAsia="方正书宋简体" w:cs="方正书宋简体"/>
              </w:rPr>
              <w:t>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062" w:type="dxa"/>
            <w:vMerge w:val="continue"/>
          </w:tcPr>
          <w:p>
            <w:pPr>
              <w:rPr>
                <w:rFonts w:ascii="方正书宋简体" w:hAnsi="Times New Roman" w:eastAsia="方正书宋简体" w:cs="Times New Roman"/>
              </w:rPr>
            </w:pPr>
          </w:p>
        </w:tc>
        <w:tc>
          <w:tcPr>
            <w:tcW w:w="6216" w:type="dxa"/>
            <w:vAlign w:val="center"/>
          </w:tcPr>
          <w:p>
            <w:pPr>
              <w:rPr>
                <w:rFonts w:ascii="方正书宋简体" w:hAnsi="Times New Roman" w:eastAsia="方正书宋简体" w:cs="Times New Roman"/>
                <w:color w:val="000000"/>
                <w:kern w:val="0"/>
              </w:rPr>
            </w:pPr>
            <w:r>
              <w:rPr>
                <w:rFonts w:hint="eastAsia" w:ascii="方正书宋简体" w:hAnsi="Times New Roman" w:eastAsia="方正书宋简体" w:cs="方正书宋简体"/>
                <w:color w:val="000000"/>
                <w:kern w:val="0"/>
              </w:rPr>
              <w:t>兴润</w:t>
            </w:r>
            <w:r>
              <w:rPr>
                <w:rFonts w:ascii="方正书宋简体" w:hAnsi="Times New Roman" w:eastAsia="方正书宋简体" w:cs="方正书宋简体"/>
                <w:color w:val="000000"/>
                <w:kern w:val="0"/>
              </w:rPr>
              <w:t>.</w:t>
            </w:r>
            <w:r>
              <w:rPr>
                <w:rFonts w:hint="eastAsia" w:ascii="方正书宋简体" w:hAnsi="Times New Roman" w:eastAsia="方正书宋简体" w:cs="方正书宋简体"/>
                <w:color w:val="000000"/>
                <w:kern w:val="0"/>
              </w:rPr>
              <w:t>秋雨台</w:t>
            </w:r>
            <w:r>
              <w:rPr>
                <w:rFonts w:ascii="方正书宋简体" w:hAnsi="Times New Roman" w:eastAsia="方正书宋简体" w:cs="方正书宋简体"/>
                <w:color w:val="000000"/>
                <w:kern w:val="0"/>
              </w:rPr>
              <w:t>1#</w:t>
            </w:r>
            <w:r>
              <w:rPr>
                <w:rFonts w:hint="eastAsia" w:ascii="方正书宋简体" w:hAnsi="Times New Roman" w:eastAsia="方正书宋简体" w:cs="方正书宋简体"/>
                <w:color w:val="000000"/>
                <w:kern w:val="0"/>
              </w:rPr>
              <w:t>、</w:t>
            </w:r>
            <w:r>
              <w:rPr>
                <w:rFonts w:ascii="方正书宋简体" w:hAnsi="Times New Roman" w:eastAsia="方正书宋简体" w:cs="方正书宋简体"/>
                <w:color w:val="000000"/>
                <w:kern w:val="0"/>
              </w:rPr>
              <w:t>2#</w:t>
            </w:r>
            <w:r>
              <w:rPr>
                <w:rFonts w:hint="eastAsia" w:ascii="方正书宋简体" w:hAnsi="Times New Roman" w:eastAsia="方正书宋简体" w:cs="方正书宋简体"/>
                <w:color w:val="000000"/>
                <w:kern w:val="0"/>
              </w:rPr>
              <w:t>楼及地下室工程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062" w:type="dxa"/>
            <w:vMerge w:val="continue"/>
          </w:tcPr>
          <w:p>
            <w:pPr>
              <w:rPr>
                <w:rFonts w:ascii="方正书宋简体" w:hAnsi="Times New Roman" w:eastAsia="方正书宋简体" w:cs="Times New Roman"/>
              </w:rPr>
            </w:pPr>
          </w:p>
        </w:tc>
        <w:tc>
          <w:tcPr>
            <w:tcW w:w="6216" w:type="dxa"/>
            <w:vAlign w:val="center"/>
          </w:tcPr>
          <w:p>
            <w:pPr>
              <w:rPr>
                <w:rFonts w:ascii="方正书宋简体" w:hAnsi="Times New Roman" w:eastAsia="方正书宋简体" w:cs="Times New Roman"/>
                <w:color w:val="000000"/>
                <w:kern w:val="0"/>
              </w:rPr>
            </w:pPr>
            <w:r>
              <w:rPr>
                <w:rFonts w:hint="eastAsia" w:ascii="方正书宋简体" w:hAnsi="Times New Roman" w:eastAsia="方正书宋简体" w:cs="方正书宋简体"/>
                <w:color w:val="000000"/>
                <w:kern w:val="0"/>
              </w:rPr>
              <w:t>土门初级中学综合楼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062" w:type="dxa"/>
            <w:vMerge w:val="continue"/>
          </w:tcPr>
          <w:p>
            <w:pPr>
              <w:rPr>
                <w:rFonts w:ascii="方正书宋简体" w:hAnsi="Times New Roman" w:eastAsia="方正书宋简体" w:cs="Times New Roman"/>
              </w:rPr>
            </w:pPr>
          </w:p>
        </w:tc>
        <w:tc>
          <w:tcPr>
            <w:tcW w:w="6216" w:type="dxa"/>
            <w:vAlign w:val="center"/>
          </w:tcPr>
          <w:p>
            <w:pPr>
              <w:rPr>
                <w:rFonts w:ascii="方正书宋简体" w:hAnsi="Times New Roman" w:eastAsia="方正书宋简体" w:cs="Times New Roman"/>
                <w:color w:val="000000"/>
                <w:kern w:val="0"/>
              </w:rPr>
            </w:pPr>
            <w:r>
              <w:rPr>
                <w:rFonts w:hint="eastAsia" w:ascii="方正书宋简体" w:hAnsi="Times New Roman" w:eastAsia="方正书宋简体" w:cs="方正书宋简体"/>
                <w:color w:val="000000"/>
                <w:kern w:val="0"/>
              </w:rPr>
              <w:t>环城南路片区</w:t>
            </w:r>
            <w:r>
              <w:rPr>
                <w:rFonts w:ascii="方正书宋简体" w:hAnsi="Times New Roman" w:eastAsia="方正书宋简体" w:cs="方正书宋简体"/>
                <w:color w:val="000000"/>
                <w:kern w:val="0"/>
              </w:rPr>
              <w:t>A</w:t>
            </w:r>
            <w:r>
              <w:rPr>
                <w:rFonts w:hint="eastAsia" w:ascii="方正书宋简体" w:hAnsi="Times New Roman" w:eastAsia="方正书宋简体" w:cs="方正书宋简体"/>
                <w:color w:val="000000"/>
                <w:kern w:val="0"/>
              </w:rPr>
              <w:t>地块项目</w:t>
            </w:r>
            <w:r>
              <w:rPr>
                <w:rFonts w:ascii="方正书宋简体" w:hAnsi="Times New Roman" w:eastAsia="方正书宋简体" w:cs="方正书宋简体"/>
                <w:color w:val="000000"/>
                <w:kern w:val="0"/>
              </w:rPr>
              <w:t>1</w:t>
            </w:r>
            <w:r>
              <w:rPr>
                <w:rFonts w:hint="eastAsia" w:ascii="方正书宋简体" w:hAnsi="Times New Roman" w:eastAsia="方正书宋简体" w:cs="方正书宋简体"/>
                <w:color w:val="000000"/>
                <w:kern w:val="0"/>
              </w:rPr>
              <w:t>、</w:t>
            </w:r>
            <w:r>
              <w:rPr>
                <w:rFonts w:ascii="方正书宋简体" w:hAnsi="Times New Roman" w:eastAsia="方正书宋简体" w:cs="方正书宋简体"/>
                <w:color w:val="000000"/>
                <w:kern w:val="0"/>
              </w:rPr>
              <w:t>2</w:t>
            </w:r>
            <w:r>
              <w:rPr>
                <w:rFonts w:hint="eastAsia" w:ascii="方正书宋简体" w:hAnsi="Times New Roman" w:eastAsia="方正书宋简体" w:cs="方正书宋简体"/>
                <w:color w:val="000000"/>
                <w:kern w:val="0"/>
              </w:rPr>
              <w:t>、</w:t>
            </w:r>
            <w:r>
              <w:rPr>
                <w:rFonts w:ascii="方正书宋简体" w:hAnsi="Times New Roman" w:eastAsia="方正书宋简体" w:cs="方正书宋简体"/>
                <w:color w:val="000000"/>
                <w:kern w:val="0"/>
              </w:rPr>
              <w:t>3</w:t>
            </w:r>
            <w:r>
              <w:rPr>
                <w:rFonts w:hint="eastAsia" w:ascii="方正书宋简体" w:hAnsi="Times New Roman" w:eastAsia="方正书宋简体" w:cs="方正书宋简体"/>
                <w:color w:val="000000"/>
                <w:kern w:val="0"/>
              </w:rPr>
              <w:t>号楼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062" w:type="dxa"/>
            <w:vMerge w:val="continue"/>
          </w:tcPr>
          <w:p>
            <w:pPr>
              <w:rPr>
                <w:rFonts w:ascii="方正书宋简体" w:hAnsi="Times New Roman" w:eastAsia="方正书宋简体" w:cs="Times New Roman"/>
              </w:rPr>
            </w:pPr>
          </w:p>
        </w:tc>
        <w:tc>
          <w:tcPr>
            <w:tcW w:w="6216" w:type="dxa"/>
            <w:vAlign w:val="center"/>
          </w:tcPr>
          <w:p>
            <w:pPr>
              <w:widowControl/>
              <w:rPr>
                <w:rFonts w:ascii="方正书宋简体" w:hAnsi="Times New Roman" w:eastAsia="方正书宋简体" w:cs="Times New Roman"/>
                <w:color w:val="000000"/>
                <w:kern w:val="0"/>
              </w:rPr>
            </w:pPr>
            <w:r>
              <w:rPr>
                <w:rFonts w:hint="eastAsia" w:ascii="方正书宋简体" w:hAnsi="Times New Roman" w:eastAsia="方正书宋简体" w:cs="方正书宋简体"/>
                <w:kern w:val="0"/>
              </w:rPr>
              <w:t>东锦苑</w:t>
            </w:r>
            <w:r>
              <w:rPr>
                <w:rFonts w:ascii="方正书宋简体" w:hAnsi="Times New Roman" w:eastAsia="方正书宋简体" w:cs="方正书宋简体"/>
                <w:kern w:val="0"/>
              </w:rPr>
              <w:t>CDE</w:t>
            </w:r>
            <w:r>
              <w:rPr>
                <w:rFonts w:hint="eastAsia" w:ascii="方正书宋简体" w:hAnsi="Times New Roman" w:eastAsia="方正书宋简体" w:cs="方正书宋简体"/>
                <w:kern w:val="0"/>
              </w:rPr>
              <w:t>区保障性住房四标段</w:t>
            </w:r>
            <w:r>
              <w:rPr>
                <w:rFonts w:ascii="方正书宋简体" w:hAnsi="Times New Roman" w:eastAsia="方正书宋简体" w:cs="方正书宋简体"/>
                <w:kern w:val="0"/>
              </w:rPr>
              <w:t>16</w:t>
            </w:r>
            <w:r>
              <w:rPr>
                <w:rFonts w:hint="eastAsia" w:ascii="方正书宋简体" w:hAnsi="Times New Roman" w:eastAsia="方正书宋简体" w:cs="方正书宋简体"/>
                <w:kern w:val="0"/>
              </w:rPr>
              <w:t>楼</w:t>
            </w:r>
          </w:p>
        </w:tc>
      </w:tr>
    </w:tbl>
    <w:p>
      <w:pPr/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decorative"/>
    <w:pitch w:val="default"/>
    <w:sig w:usb0="E0002AFF" w:usb1="C0007843" w:usb2="00000009" w:usb3="00000000" w:csb0="400001FF" w:csb1="FFFF0000"/>
  </w:font>
  <w:font w:name="方正大标宋简体">
    <w:altName w:val="宋体"/>
    <w:panose1 w:val="03000509000000000000"/>
    <w:charset w:val="86"/>
    <w:family w:val="auto"/>
    <w:pitch w:val="default"/>
    <w:sig w:usb0="00000000" w:usb1="00000000" w:usb2="00000010" w:usb3="00000000" w:csb0="00040000" w:csb1="00000000"/>
  </w:font>
  <w:font w:name="方正楷体简体">
    <w:altName w:val="方正兰亭超细黑简体"/>
    <w:panose1 w:val="03000509000000000000"/>
    <w:charset w:val="86"/>
    <w:family w:val="auto"/>
    <w:pitch w:val="default"/>
    <w:sig w:usb0="00000000" w:usb1="00000000" w:usb2="00000010" w:usb3="00000000" w:csb0="00040000" w:csb1="00000000"/>
  </w:font>
  <w:font w:name="方正书宋简体">
    <w:altName w:val="宋体"/>
    <w:panose1 w:val="03000509000000000000"/>
    <w:charset w:val="86"/>
    <w:family w:val="auto"/>
    <w:pitch w:val="default"/>
    <w:sig w:usb0="00000000" w:usb1="00000000" w:usb2="00000010" w:usb3="00000000" w:csb0="00040000" w:csb1="00000000"/>
  </w:font>
  <w:font w:name="方正黑体简体">
    <w:altName w:val="微软雅黑"/>
    <w:panose1 w:val="03000509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decorative"/>
    <w:pitch w:val="default"/>
    <w:sig w:usb0="00000000" w:usb1="00000000" w:usb2="00000010" w:usb3="00000000" w:csb0="00040000" w:csb1="00000000"/>
  </w:font>
  <w:font w:name="方正小标宋简体">
    <w:altName w:val="方正兰亭超细黑简体"/>
    <w:panose1 w:val="03000509000000000000"/>
    <w:charset w:val="86"/>
    <w:family w:val="auto"/>
    <w:pitch w:val="default"/>
    <w:sig w:usb0="00000000" w:usb1="00000000" w:usb2="00000010" w:usb3="00000000" w:csb0="00040000" w:csb1="00000000"/>
  </w:font>
  <w:font w:name="华文宋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创艺简标宋">
    <w:altName w:val="方正兰亭超细黑简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roman"/>
    <w:pitch w:val="default"/>
    <w:sig w:usb0="A10006FF" w:usb1="4000205B" w:usb2="00000010" w:usb3="00000000" w:csb0="2000019F" w:csb1="00000000"/>
  </w:font>
  <w:font w:name="楷体_GB2312">
    <w:altName w:val="楷体"/>
    <w:panose1 w:val="02010609030101010101"/>
    <w:charset w:val="86"/>
    <w:family w:val="decorative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  <w:font w:name="Arial">
    <w:panose1 w:val="020B0604020202020204"/>
    <w:charset w:val="00"/>
    <w:family w:val="roman"/>
    <w:pitch w:val="default"/>
    <w:sig w:usb0="E0002AFF" w:usb1="C0007843" w:usb2="00000009" w:usb3="00000000" w:csb0="400001FF" w:csb1="FFFF0000"/>
  </w:font>
  <w:font w:name="方正粗圆简体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大标宋_GBK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???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otu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黑体">
    <w:panose1 w:val="02010609060101010101"/>
    <w:charset w:val="86"/>
    <w:family w:val="script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roman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roma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modern"/>
    <w:pitch w:val="default"/>
    <w:sig w:usb0="A10006FF" w:usb1="4000205B" w:usb2="00000010" w:usb3="00000000" w:csb0="2000019F" w:csb1="00000000"/>
  </w:font>
  <w:font w:name="楷体_GB2312">
    <w:altName w:val="楷体"/>
    <w:panose1 w:val="02010609030101010101"/>
    <w:charset w:val="86"/>
    <w:family w:val="roma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modern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方正书宋简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moder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roma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A55172"/>
    <w:rsid w:val="6DA55172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Office_10.1.0.5457_F1E327BC-269C-435d-A152-05C5408002CA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2016-03-29T06:33:00Z</dcterms:created>
  <dc:creator>Administrator</dc:creator>
  <cp:lastModifiedBy>Administrator</cp:lastModifiedBy>
  <dcterms:modified xsi:type="dcterms:W3CDTF">2016-03-29T06:33:44Z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2052-10.1.0.5457</vt:lpwstr>
  </property>
</Properties>
</file>